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45" w:rsidRDefault="00E53045" w:rsidP="00E53045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Информация</w:t>
      </w:r>
    </w:p>
    <w:p w:rsidR="00E53045" w:rsidRDefault="00E53045" w:rsidP="00E53045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об исполнении рекомендаций публичных слушаний по проекту</w:t>
      </w:r>
    </w:p>
    <w:p w:rsidR="00E53045" w:rsidRDefault="00E53045" w:rsidP="00E53045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республиканского бюджета Чувашской Республики на 2024 год</w:t>
      </w:r>
    </w:p>
    <w:p w:rsidR="00E53045" w:rsidRDefault="00E53045" w:rsidP="00E53045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и на плановый период 2025 и 2026 годов</w:t>
      </w:r>
      <w:r>
        <w:rPr>
          <w:rFonts w:ascii="Arial" w:hAnsi="Arial" w:cs="Arial"/>
          <w:color w:val="000000"/>
          <w:sz w:val="23"/>
          <w:szCs w:val="23"/>
        </w:rPr>
        <w:t> 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Пункт 1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Проект закона Чувашской Республики «О республиканском бюджете Чува</w:t>
      </w:r>
      <w:r>
        <w:rPr>
          <w:rFonts w:ascii="Arial" w:hAnsi="Arial" w:cs="Arial"/>
          <w:color w:val="000000"/>
          <w:sz w:val="23"/>
          <w:szCs w:val="23"/>
        </w:rPr>
        <w:t>ш</w:t>
      </w:r>
      <w:r>
        <w:rPr>
          <w:rFonts w:ascii="Arial" w:hAnsi="Arial" w:cs="Arial"/>
          <w:color w:val="000000"/>
          <w:sz w:val="23"/>
          <w:szCs w:val="23"/>
        </w:rPr>
        <w:t>ской Республики на 2024 год и на плановый период 2025 и 2026 годов» рассмотрен Комитетом Государственного Совета Чувашской Республики по экономической пол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тике, бюджету, финансам и налогам и внесен на рассмотрение очередной двадцать второй сессии Государственного Совета Чувашской Республики.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Пункт 2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30 ноября 2023 года принят Закон Чувашской Республики «О республиканском бюджете Чувашской Республики на 2024 год и на плановый период 2025 и 2026 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дов», подписан Главой Чувашской Республики 30 ноября 2023 года, № 89.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Пункт 3</w:t>
      </w:r>
    </w:p>
    <w:p w:rsidR="00E53045" w:rsidRDefault="00E53045" w:rsidP="00237720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Основными задачами бюджетной и налоговой политики Чувашской Ре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публики остаются обеспечение долгосрочной сбалансированности и финансовой устойчивости бюджетной системы Чувашской Республики при безусловном выполн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нии всех принятых обязательств республики, проведение ответственной долговой политики.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По состоянию на 1 октября 2024 года консолидированный бюджет Чувашской Республики по доходам исполнен в объеме 86445,3 млн. рублей, или 111,2% к уро</w:t>
      </w:r>
      <w:r>
        <w:rPr>
          <w:rFonts w:ascii="Arial" w:hAnsi="Arial" w:cs="Arial"/>
          <w:color w:val="000000"/>
          <w:sz w:val="23"/>
          <w:szCs w:val="23"/>
        </w:rPr>
        <w:t>в</w:t>
      </w:r>
      <w:r>
        <w:rPr>
          <w:rFonts w:ascii="Arial" w:hAnsi="Arial" w:cs="Arial"/>
          <w:color w:val="000000"/>
          <w:sz w:val="23"/>
          <w:szCs w:val="23"/>
        </w:rPr>
        <w:t>ню аналогичного периода 2023 года, в том числе по собственным (налоговым и нен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логовым) доходам – 56978,5 млн. рублей, что составляет 121,6% к уровню аналоги</w:t>
      </w:r>
      <w:r>
        <w:rPr>
          <w:rFonts w:ascii="Arial" w:hAnsi="Arial" w:cs="Arial"/>
          <w:color w:val="000000"/>
          <w:sz w:val="23"/>
          <w:szCs w:val="23"/>
        </w:rPr>
        <w:t>ч</w:t>
      </w:r>
      <w:r>
        <w:rPr>
          <w:rFonts w:ascii="Arial" w:hAnsi="Arial" w:cs="Arial"/>
          <w:color w:val="000000"/>
          <w:sz w:val="23"/>
          <w:szCs w:val="23"/>
        </w:rPr>
        <w:t>ного периода 2023 года (46853,0 млн. рублей).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Поступление налоговых доходов на 1 октября текущего года в консолидир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ванный бюджет Чувашской Республики составило 50842,8 млн. рублей, что составл</w:t>
      </w:r>
      <w:r>
        <w:rPr>
          <w:rFonts w:ascii="Arial" w:hAnsi="Arial" w:cs="Arial"/>
          <w:color w:val="000000"/>
          <w:sz w:val="23"/>
          <w:szCs w:val="23"/>
        </w:rPr>
        <w:t>я</w:t>
      </w:r>
      <w:r>
        <w:rPr>
          <w:rFonts w:ascii="Arial" w:hAnsi="Arial" w:cs="Arial"/>
          <w:color w:val="000000"/>
          <w:sz w:val="23"/>
          <w:szCs w:val="23"/>
        </w:rPr>
        <w:t>ет 117,9% к уровню аналогичного периода 2023 года (43127,1 млн. рублей).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Объем безвозмездных поступлений составил 29466,8 млн. рублей, что на 4,6% ниже уровня аналогичного периода 2023 года (30888,1 млн. рублей).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Расходы консолидированного бюджета Чувашской Республики за январь–сентябрь 2024 года составили 74328,1 млн. рублей (62,3% от годовых плановых назначений), с ростом на 7,2% к аналогичному периоду 2023 года. Консолидирова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ный бюджет Чувашской Республики на 1 октября 2024 года исполнен с профицитом в объеме 12117,2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1 октября 2024 года государственный долг Чувашской Республики составил 16101,3 млн. рублей, или 25,3% к собственным доходам республиканского бюджета Чувашской Республики.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структуре государственного долга Чувашской Республики 75,1% составляют бюджетные кредиты, привлеченные из федерального бюджета, 24,9% – госуда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ственные гарантии Чувашской Республики.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lastRenderedPageBreak/>
        <w:t>Исполнение консолидированного бюджета Чувашской Республики в 2024 году по доходам оценивается в сумме 116,1 млрд. рублей с ростом на 9,0% к уровню 2023 года, в том числе по собственным доходам в сумме 77,3 млрд. рублей (рост на 14,0%), по расходам в сумме 126,2 млрд. рублей (рост на 118,6%), дефицит составит 10,0 млрд. рублей.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Правительством Чувашской Республики обеспечивается сбалансированность республиканского бюджета Чувашской Республики. Принятые республикой обяз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тельства выполняются в полном объеме.</w:t>
      </w:r>
    </w:p>
    <w:p w:rsidR="00E53045" w:rsidRDefault="00E53045" w:rsidP="00237720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целях поддержки налогоплательщиков в условиях, связанных с усил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нием антироссийского санкционного давления, оказавших значительное влияние на экономику республики, и снижения их налоговой нагрузки, в региональное законод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тельство о налогах в 2024 году внесены изменения, котор</w:t>
      </w:r>
      <w:r>
        <w:rPr>
          <w:rFonts w:ascii="Arial" w:hAnsi="Arial" w:cs="Arial"/>
          <w:color w:val="000000"/>
          <w:sz w:val="23"/>
          <w:szCs w:val="23"/>
        </w:rPr>
        <w:t>ы</w:t>
      </w:r>
      <w:r>
        <w:rPr>
          <w:rFonts w:ascii="Arial" w:hAnsi="Arial" w:cs="Arial"/>
          <w:color w:val="000000"/>
          <w:sz w:val="23"/>
          <w:szCs w:val="23"/>
        </w:rPr>
        <w:t>ми: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установлены пониженные налоговые ставки по упрощенной системе налогоо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ложения (УСН) для социальных предприятий на 2025–2026 годы в размере 10% (в случае, если объектом налогообложения являются доходы, уменьшенные на велич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ну расходов) и 4% (в случае, если объектом налогообложения являются доходы);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установлено ограничение роста налога на имущество организаций, исчисле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ного за налоговый период 2024 года, в отношении объектов недвижимого имущества, налогооблагаемая база которых исчисляется исходя из кадастровой стоимости, в пределах 40%;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налоговая льгота по транспортному налогу распространена на многодетные семьи, имеющие в своем составе трех и более детей до достижения старшим ребе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ком возраста 23 лет при условии его обучения в организации, осуществляющей обр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зовательную деятельность по очной форме обучения;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установлена на налоговый период 2025–2027 годов льготная налоговая ставка в размере 0,1% по налогу на имущество организаций в отношении объектов вод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снабжения и водоотведения, находящихся на территории муниципальных округов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Республики, созданных в рамках реализации мероприятий по водоснабж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нию и водоотведению на территории Чувашской Республики;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продлевается действие: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налоговой льготы по транспортному налогу для участников специальной вое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ной операции на налоговый период 2024 года;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применения налоговой ставки в размере 0% для вновь зарегистрированных индивидуальных предпринимателей, применяющих упрощенную и патентную сист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мы налогообложения, до 1 января 2027 года;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льготной налоговой ставки в размере 0,1% по налогу на имущество организ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ций в отношении объектов газораспределительных сетей, созданных в рамках реал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 xml:space="preserve">зации мероприятий по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догазификации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населенных пунктов на территории Чувашской Республики, на 2025–2027 годы.</w:t>
      </w:r>
    </w:p>
    <w:p w:rsidR="00E53045" w:rsidRDefault="00E53045" w:rsidP="00237720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целях реализации республиканского бюджета Чувашской Республики на 2024 год и на плановый период 2025 и 2026 годов Кабинетом Министров Чува</w:t>
      </w:r>
      <w:r>
        <w:rPr>
          <w:rFonts w:ascii="Arial" w:hAnsi="Arial" w:cs="Arial"/>
          <w:color w:val="000000"/>
          <w:sz w:val="23"/>
          <w:szCs w:val="23"/>
        </w:rPr>
        <w:t>ш</w:t>
      </w:r>
      <w:r>
        <w:rPr>
          <w:rFonts w:ascii="Arial" w:hAnsi="Arial" w:cs="Arial"/>
          <w:color w:val="000000"/>
          <w:sz w:val="23"/>
          <w:szCs w:val="23"/>
        </w:rPr>
        <w:t>ской Республики приняты нормативные правовые акты об утверждении и (или) о вн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сении изменений в правила предоставления бюджетных ассигнований из республ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lastRenderedPageBreak/>
        <w:t>канского бюджета Чувашской Республики бюджетам муниципальных округов и горо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ских округов, юридическим лицам, в том числе: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перечня мероприятий по реализации Закона Чувашской Республики от 30 ноября 2023 года № 89 «О республиканском бюджете Чувашской Республики на 2024 год и на плановый период 2025 и 2026 годов», утвержденного п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становлением Кабинета Министров Чувашской Республики от 13 декабря 2023 года № 779, принято 20 постановлений Кабинета Министров Чувашской Республики;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перечня мероприятий по реализации Закона Чувашской Республики от 29 марта 2024 года № 7 «О внесении изменений в Закон Чувашской Республики «О республиканском бюджете Чувашской Республики на 2024 год и на плановый период 2025 и 2026 годов», утвержденного постановлением Кабинета М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нистров Чувашской Республики от 1 апреля 2024 года № 162, принято 14 постановл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ний Кабинета Министров Чувашской Республики.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перечня мероприятий по реализации Закона Чувашской Республики от 8 октября 2024 года № 49 «О внесении изменений в Закон Чувашской Республики «О республиканском бюджете Чувашской Республики на 2024 год и на плановый период 2025 и 2026 годов», утвержденного постановлением Кабинета М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нистров Чувашской Республики от 9 октября 2024 года № 569, требуется принятие 4 постановлений Кабинета Министров Чувашской Республики, из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которых на сегодня</w:t>
      </w:r>
      <w:r>
        <w:rPr>
          <w:rFonts w:ascii="Arial" w:hAnsi="Arial" w:cs="Arial"/>
          <w:color w:val="000000"/>
          <w:sz w:val="23"/>
          <w:szCs w:val="23"/>
        </w:rPr>
        <w:t>ш</w:t>
      </w:r>
      <w:r>
        <w:rPr>
          <w:rFonts w:ascii="Arial" w:hAnsi="Arial" w:cs="Arial"/>
          <w:color w:val="000000"/>
          <w:sz w:val="23"/>
          <w:szCs w:val="23"/>
        </w:rPr>
        <w:t>ний день принято 2, 2 находятся на согласовании в исполнительных органах Чува</w:t>
      </w:r>
      <w:r>
        <w:rPr>
          <w:rFonts w:ascii="Arial" w:hAnsi="Arial" w:cs="Arial"/>
          <w:color w:val="000000"/>
          <w:sz w:val="23"/>
          <w:szCs w:val="23"/>
        </w:rPr>
        <w:t>ш</w:t>
      </w:r>
      <w:r>
        <w:rPr>
          <w:rFonts w:ascii="Arial" w:hAnsi="Arial" w:cs="Arial"/>
          <w:color w:val="000000"/>
          <w:sz w:val="23"/>
          <w:szCs w:val="23"/>
        </w:rPr>
        <w:t>ской Республики.</w:t>
      </w:r>
      <w:proofErr w:type="gramEnd"/>
    </w:p>
    <w:p w:rsidR="00E53045" w:rsidRDefault="00E53045" w:rsidP="00237720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январе–сентябре 2024 года социально-экономическое развитие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 характеризуется опережающим ростом в сравнении с аналоги</w:t>
      </w:r>
      <w:r>
        <w:rPr>
          <w:rFonts w:ascii="Arial" w:hAnsi="Arial" w:cs="Arial"/>
          <w:color w:val="000000"/>
          <w:sz w:val="23"/>
          <w:szCs w:val="23"/>
        </w:rPr>
        <w:t>ч</w:t>
      </w:r>
      <w:r>
        <w:rPr>
          <w:rFonts w:ascii="Arial" w:hAnsi="Arial" w:cs="Arial"/>
          <w:color w:val="000000"/>
          <w:sz w:val="23"/>
          <w:szCs w:val="23"/>
        </w:rPr>
        <w:t>ными параметрами по России индекса промышленного производства (по Чувашской Республике – 116,4%, по Российской Федерации – 104,4%), оборота розничной то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говли (112,1% и 107,8% соответственно). В 2024 году сохранен темп роста среднем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сячной номинальной заработной платы по Чувашской Республике, опережающий среднероссийский уровень, который распространяется и на реальную заработную плату (за январь–август по Чувашской Республике рост составил 111,1%, по Росси</w:t>
      </w:r>
      <w:r>
        <w:rPr>
          <w:rFonts w:ascii="Arial" w:hAnsi="Arial" w:cs="Arial"/>
          <w:color w:val="000000"/>
          <w:sz w:val="23"/>
          <w:szCs w:val="23"/>
        </w:rPr>
        <w:t>й</w:t>
      </w:r>
      <w:r>
        <w:rPr>
          <w:rFonts w:ascii="Arial" w:hAnsi="Arial" w:cs="Arial"/>
          <w:color w:val="000000"/>
          <w:sz w:val="23"/>
          <w:szCs w:val="23"/>
        </w:rPr>
        <w:t>ской Федерации – 109,1%). Сохраняется низкий уровень безработицы (за 1 полугодие 2024 года составил 2,2% и 2,6% соответственно) при росте реальных денежных дох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дов насел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ния. Инфляция в сентябре 2024 года к декабрю 2023 года сложилась ниже, чем в целом по России (по Чувашской Республике – 105,5%, по Российской Федер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ции – 105,8%).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Основной задачей Кабинета Министров Чувашской Республики является по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держание экономической, финансовой и социальной стабильности в республике. Важнейшим финансовым инструментом для осуществления всех мероприятий по д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стижению этих целей является республиканский бюджет Чувашской Республики.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числе основных приоритетов бюджетных расходов республиканского бюдж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та Чувашской Республики является финансирование социальных обязательств.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Расходы на социально-культурную сферу в 2024 году (с учетом второго уто</w:t>
      </w:r>
      <w:r>
        <w:rPr>
          <w:rFonts w:ascii="Arial" w:hAnsi="Arial" w:cs="Arial"/>
          <w:color w:val="000000"/>
          <w:sz w:val="23"/>
          <w:szCs w:val="23"/>
        </w:rPr>
        <w:t>ч</w:t>
      </w:r>
      <w:r>
        <w:rPr>
          <w:rFonts w:ascii="Arial" w:hAnsi="Arial" w:cs="Arial"/>
          <w:color w:val="000000"/>
          <w:sz w:val="23"/>
          <w:szCs w:val="23"/>
        </w:rPr>
        <w:t>нения республиканского бюджета Чувашской Республики) составляют 67,9 млрд. ру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лей. В структуре расходов на социально-культурную сферу наибольший объем пр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ходится на образование (30,3%), социальную политику (18,5%), здравоохранение (8,3%).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По всем категориям работников бюджетной сферы, обозначенным в «майских» указах Президента Российской Федерации от 2012 года, сохраняются соотношения между уровнем их оплаты труда и уровнем среднемесячного дохода от трудовой де</w:t>
      </w:r>
      <w:r>
        <w:rPr>
          <w:rFonts w:ascii="Arial" w:hAnsi="Arial" w:cs="Arial"/>
          <w:color w:val="000000"/>
          <w:sz w:val="23"/>
          <w:szCs w:val="23"/>
        </w:rPr>
        <w:t>я</w:t>
      </w:r>
      <w:r>
        <w:rPr>
          <w:rFonts w:ascii="Arial" w:hAnsi="Arial" w:cs="Arial"/>
          <w:color w:val="000000"/>
          <w:sz w:val="23"/>
          <w:szCs w:val="23"/>
        </w:rPr>
        <w:t>тельности по Чувашской Республике.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 1 февраля 2024 года в целях дополнительной поддержки граждан проинде</w:t>
      </w:r>
      <w:r>
        <w:rPr>
          <w:rFonts w:ascii="Arial" w:hAnsi="Arial" w:cs="Arial"/>
          <w:color w:val="000000"/>
          <w:sz w:val="23"/>
          <w:szCs w:val="23"/>
        </w:rPr>
        <w:t>к</w:t>
      </w:r>
      <w:r>
        <w:rPr>
          <w:rFonts w:ascii="Arial" w:hAnsi="Arial" w:cs="Arial"/>
          <w:color w:val="000000"/>
          <w:sz w:val="23"/>
          <w:szCs w:val="23"/>
        </w:rPr>
        <w:t>сированы меры социальной поддержки на 7,26%.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помещениях, в текущем году выделено 833,0 млн. рублей, что позволит обе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печить жильем 157 таких семей.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обеспечение жилыми помещениями детей-сирот и детей, оставшихся без попечения родителей, в 2024 году выделено 1180,3 млн. рублей (на 414 детей-сирот).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На развитие отраслей экономики из республиканского бюджета Чувашской Республики в 2024 году (с учетом второго уточнения республиканского бюджета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Республики) предусмотрено направить на поддержку субъектов малого и среднего предпринимательства – 1303,4 млн. рублей, промышленности – 926,4 млн. рублей, развитие агропромышленного комплекса – 3740,0 млн. рублей, дорожного х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зяйства – 8528,2 млн. рублей, коммунальное хозяйство – 5494,8 млн. рублей.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Несмотря на риски, связанные с возможным ухудшением внешних условий р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гионального развития, экономика Чувашской Республики продемонстрировала усто</w:t>
      </w:r>
      <w:r>
        <w:rPr>
          <w:rFonts w:ascii="Arial" w:hAnsi="Arial" w:cs="Arial"/>
          <w:color w:val="000000"/>
          <w:sz w:val="23"/>
          <w:szCs w:val="23"/>
        </w:rPr>
        <w:t>й</w:t>
      </w:r>
      <w:r>
        <w:rPr>
          <w:rFonts w:ascii="Arial" w:hAnsi="Arial" w:cs="Arial"/>
          <w:color w:val="000000"/>
          <w:sz w:val="23"/>
          <w:szCs w:val="23"/>
        </w:rPr>
        <w:t>чивость к происходящим изменениям благодаря системному подходу к региональн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му управлению, целостности и адаптивности реализуемой экономической политики.</w:t>
      </w:r>
    </w:p>
    <w:p w:rsidR="00E53045" w:rsidRDefault="00E53045" w:rsidP="00237720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Общий объем безвозмездных поступлений из федерального бю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жета и бюджетов целевых федеральных фондов в 2024 году планируется в объеме 38,6 млрд. рублей, темп роста к факту 2023 года составил 101,7%.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состоянию на 1 ноября 2024 года объем безвозмездных поступлений из федерального бюджета (без учета возврата остатков межбюджетных трансфертов, имеющих целевое назначение, прошлых лет) составил 28,4 млрд. рублей, со сниж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нием к уровню аналогичного периода 2023 года (29,8 млрд. рублей) на 4,9%.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Работа по привлечению дополнительных доходов в бюджет республики испо</w:t>
      </w:r>
      <w:r>
        <w:rPr>
          <w:rFonts w:ascii="Arial" w:hAnsi="Arial" w:cs="Arial"/>
          <w:color w:val="000000"/>
          <w:sz w:val="23"/>
          <w:szCs w:val="23"/>
        </w:rPr>
        <w:t>л</w:t>
      </w:r>
      <w:r>
        <w:rPr>
          <w:rFonts w:ascii="Arial" w:hAnsi="Arial" w:cs="Arial"/>
          <w:color w:val="000000"/>
          <w:sz w:val="23"/>
          <w:szCs w:val="23"/>
        </w:rPr>
        <w:t>нительными органами Чувашской Республики продолжится.</w:t>
      </w:r>
    </w:p>
    <w:p w:rsidR="00E53045" w:rsidRDefault="00E53045" w:rsidP="00237720">
      <w:pPr>
        <w:numPr>
          <w:ilvl w:val="0"/>
          <w:numId w:val="10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Кабинетом Министров Чувашской Республики активно использ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ются все инструменты финансирования, предложенные Правительством Российской Федер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ции (средства от реструктуризации бюджетных кредитов, инфраструктурные бюдже</w:t>
      </w:r>
      <w:r>
        <w:rPr>
          <w:rFonts w:ascii="Arial" w:hAnsi="Arial" w:cs="Arial"/>
          <w:color w:val="000000"/>
          <w:sz w:val="23"/>
          <w:szCs w:val="23"/>
        </w:rPr>
        <w:t>т</w:t>
      </w:r>
      <w:r>
        <w:rPr>
          <w:rFonts w:ascii="Arial" w:hAnsi="Arial" w:cs="Arial"/>
          <w:color w:val="000000"/>
          <w:sz w:val="23"/>
          <w:szCs w:val="23"/>
        </w:rPr>
        <w:t>ные кредиты, концессионные соглашения, лизинг, средства специального казначе</w:t>
      </w:r>
      <w:r>
        <w:rPr>
          <w:rFonts w:ascii="Arial" w:hAnsi="Arial" w:cs="Arial"/>
          <w:color w:val="000000"/>
          <w:sz w:val="23"/>
          <w:szCs w:val="23"/>
        </w:rPr>
        <w:t>й</w:t>
      </w:r>
      <w:r>
        <w:rPr>
          <w:rFonts w:ascii="Arial" w:hAnsi="Arial" w:cs="Arial"/>
          <w:color w:val="000000"/>
          <w:sz w:val="23"/>
          <w:szCs w:val="23"/>
        </w:rPr>
        <w:t>ского кредита и другие).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проектов комплексной застройки жилых районов за счет инфраструктурных бюджетных кредитов (далее – ИБК) в течение 2022–2025 годов предусмотрено финансирование в размере 5021,8 млн. рублей на строительство 52 объектов инфраструктуры, в том числе 14 объектов дорожного хозяйства на сумму 2275,4 млн. рублей, 4 объекта социальной инфраструктуры на сумму 1501,5 млн. рублей (детские сады) и 34 объекта коммунальной инфраструктуры на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сумму 1244,9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В 2024 году объем финансирования строительства за счет средств ИБК с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ставляет 1472,4 млн. рублей, в том числе по объектам дорожного хозяйства в разм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ре 787,9 млн. рублей, коммунального хозяйства в размере 380,3 млн. рублей, на строительство дошкольных образовательных организаций в размере 304,2 млн. ру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заключенных концессионных соглашений с ООО «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Прошкола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>» с 2023 года в Чувашской Республике ведется работа по созданию 3 объектов образования (общеобразовательная школа на 1400 мест в микрорайоне «Солнечный» города 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 xml:space="preserve">боксары, общеобразовательная школа на 1100 мест по адресу: ул. Воинов-интернационалистов в IX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мкр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 xml:space="preserve">Западного жилого района города Новочебоксарска, общеобразовательная школа на 825 мест по адресу: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пгт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Кугеси Чебоксарского мун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ципального округа).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На указанные цели в 2024 году в республиканском бюджете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 предусмотрено 4106,5 млн. рублей, в том числе за счет фед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рального бюджета – 2172,8 млн. рублей, за счет собственных средств республика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ского бюджета Чувашской Республики – 1933,7 млн. рублей (из них 1911,8 млн. ру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лей выделено сверх софинансирования федеральных средств на возможное удор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жание стоимости проектов).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Общий объем расходов на создание школ за 2023–2024 годы составляет 4964,2 млн. рублей, в том числе за счет федерального бюджета – 2443,3 млн. рублей, собственных средств республиканского бюджета Чувашской Республики – 2520,9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На развитие общественного транспорта планируется привлечь кредитные средства в сумме 4377,9 млн. рублей. Данные средства направляются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на</w:t>
      </w:r>
      <w:proofErr w:type="gramEnd"/>
      <w:r>
        <w:rPr>
          <w:rFonts w:ascii="Arial" w:hAnsi="Arial" w:cs="Arial"/>
          <w:color w:val="000000"/>
          <w:sz w:val="23"/>
          <w:szCs w:val="23"/>
        </w:rPr>
        <w:t>: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приобретение 92 троллейбусов и реконструкцию тяговой подстанции № 1 г. Чебоксары (в рамках заключенного в 2023 году договора займа между ГУП «ЧТУ» и ООО «СОПФ «Инфраструктурные облигации»)</w:t>
      </w:r>
      <w:proofErr w:type="gramStart"/>
      <w:r>
        <w:rPr>
          <w:rFonts w:ascii="Arial" w:hAnsi="Arial" w:cs="Arial"/>
          <w:color w:val="000000"/>
          <w:sz w:val="23"/>
          <w:szCs w:val="23"/>
        </w:rPr>
        <w:t xml:space="preserve"> ;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приобретение 40 троллейбусов для маршрута № 1 г. Чебоксары (в рамках пл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нируемого к заключению в 2024 году договора финансовой аренды (лизинга) между ГУП «ЧТУ» и АО «Государственная транспортная лизинговая компания»)</w:t>
      </w:r>
      <w:proofErr w:type="gramStart"/>
      <w:r>
        <w:rPr>
          <w:rFonts w:ascii="Arial" w:hAnsi="Arial" w:cs="Arial"/>
          <w:color w:val="000000"/>
          <w:sz w:val="23"/>
          <w:szCs w:val="23"/>
        </w:rPr>
        <w:t xml:space="preserve"> 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Всего в 2024 году для ГУП «ЧТУ» запланирована поставка 153 троллейбусов (на 1 ноября 2024 года поступило 90 троллейбусов).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рамках реализации концессионного соглашения по созданию мусоросорт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ровочного комплекса в Канашском муниципальном округе Чувашской Республики мощностью 30000 тонн в год в 2024 году предусмотрены расходы республиканского бюджета Чувашской Республики в размере 189,9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Всего в 2024 году на реализацию концессионного соглашения по созданию м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соросортировочного комплекса за счет всех источников предусмотрено 469,5 млн. рублей, из них 458,0 млн. рублей предусмотрены непосредственно на создание об</w:t>
      </w:r>
      <w:r>
        <w:rPr>
          <w:rFonts w:ascii="Arial" w:hAnsi="Arial" w:cs="Arial"/>
          <w:color w:val="000000"/>
          <w:sz w:val="23"/>
          <w:szCs w:val="23"/>
        </w:rPr>
        <w:t>ъ</w:t>
      </w:r>
      <w:r>
        <w:rPr>
          <w:rFonts w:ascii="Arial" w:hAnsi="Arial" w:cs="Arial"/>
          <w:color w:val="000000"/>
          <w:sz w:val="23"/>
          <w:szCs w:val="23"/>
        </w:rPr>
        <w:t>екта концессии, в том числе за счет средств республиканского бюджета Чувашской Республики – 178,3 млн. рублей, за счет заемных средств финансирующих организ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ций (ППК РЭО, ПАО СБЕРБАНК) – 279,7 млн. рублей.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За 2020–2023 годы и 9 месяцев 2024 года за счет реализуемой в Чувашской Республике Индивидуальной программы социально-экономического развития на 2020–2024 годы, утвержденной распоряжением Правительства Российской Федер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ции от 3 апреля 2020 года № 865-р (далее – ИПСЭР), создано более 3,6 тыс. пост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lastRenderedPageBreak/>
        <w:t>янных рабочих мест, привлечено внебюджетных инвестиций на сумму более 34,3 млрд. рублей, реализовано 653 инвестиционных проекта.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Реализуемые в рамках ИПСЭР мероприятия способствовали снижению пок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зателя уровня бедности в республике с 16,6% в 2020 году до 13,0% в 2023 году, уро</w:t>
      </w:r>
      <w:r>
        <w:rPr>
          <w:rFonts w:ascii="Arial" w:hAnsi="Arial" w:cs="Arial"/>
          <w:color w:val="000000"/>
          <w:sz w:val="23"/>
          <w:szCs w:val="23"/>
        </w:rPr>
        <w:t>в</w:t>
      </w:r>
      <w:r>
        <w:rPr>
          <w:rFonts w:ascii="Arial" w:hAnsi="Arial" w:cs="Arial"/>
          <w:color w:val="000000"/>
          <w:sz w:val="23"/>
          <w:szCs w:val="23"/>
        </w:rPr>
        <w:t xml:space="preserve">ня безработицы с 6,0%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до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2,4% соответственно.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финансирование мероприятий ИПСЭР за период ее реализации направл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но 5820,1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ходе оглашения Послания Федеральному Собранию Российской Федерации Президент Российской Федерации В.В. Путин объявил о продлении индивидуальных программ социально-экономического развития 10 регионов с низким уровнем соц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ально-экономического развития.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соответствие с перечнем поручений по итогам совещания по вопросам соц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ально-экономического развития Чувашской Республики, состоявшегося 22 февраля 2024 года, утвержденным Президентом Российской Федерации В.В. Путиным 6 апр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ля 2024 года, № Пр-675 Кабинетом Министров Чувашской Республики совместно с Минэкономразвития России разработана индивидуальная программа социально-экономического развития Чувашской Республики на 2025–2030 годы. Объем фина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сирования мероприятий за период ее реализации составит 6060,0 млн. рублей, в том числе за счет средств федерального бюджета – 6000,0 млн. рублей.</w:t>
      </w:r>
    </w:p>
    <w:p w:rsidR="00E53045" w:rsidRDefault="00E53045" w:rsidP="00237720">
      <w:pPr>
        <w:numPr>
          <w:ilvl w:val="0"/>
          <w:numId w:val="11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Чувашской Республике проводится целенаправленная работа по обеспечению сбалансированности и устойчивости бюджета, поддержанию эконом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чески обоснованного объема государственного долга Чувашской Республики для с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хранения позиции республики в группе субъектов Российской Федерации с высоким уровнем долговой устойчивости, продолжению положительной кредитной истории республики.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Государственный долг Чувашской Республики по состоянию на 1 ноября 2024 года составил 17013,7 млн. рублей, или 26,7% к утвержденным назначениям по со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ственным доходам республиканского бюджета Чувашской Республики на 2024 год. Объем государственного долга Чувашской Республики соответствует ограничениям, установленным Бюджетным кодексом Российской Федерации, и условиям соглаш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ний, заключенных с Минфином России, о предоставлении бюджетных кредитов из федерального бюджета.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сравнению с началом года государственный долг Чувашской Республики уменьшился на 255,1 млн. рублей. Снижение государственного долга Чувашской Ре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публики связано с погашением в феврале 2024 года бюджетного кредита, привлече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ного из федерального бюджета на опережающее финансирование создания объектов дорожной и социальной инфраструктуры, в размере 1303,5 млн. рублей, а также с уменьшением обязательств по государственной гарантии Чувашской Республики на 50,6 млн. рублей. Одновременно в течение отчетного года Чувашской Республикой в целях реализации инфраструктурных проектов привлечен еще один инфраструкту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ный бюджетный кредит из федерального бюджета в размере 1099,1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Государственный долг Чувашской Республики на 1 января 2025 года прогноз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руется в объеме 18074,0 млн. рублей, что составляет к прогнозируемым собственным доходам республиканского бюджета Чувашской Республики 28,4% (без учета привл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каемого инфраструктурного бюджетного кредита, реструктуризации бюджетных кр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lastRenderedPageBreak/>
        <w:t>дитов в рамках заключенных с Минфином России соглашений, государственных г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рантий Чувашской Республики – 13,7%).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оценке Министерства финансов Российской Федерации, Чувашская Ре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публика четвертый год подряд входит в группу субъектов Российской Федерации с высоким уровнем долговой устойчивости, что свидетельствует о низком уровне ри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ков для бюджета.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июле 2024 года рейтинговое агентство «Эксперт РА» подтвердило долг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срочный рейтинг кредитоспособности Чувашской Республики на уровне «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ruA</w:t>
      </w:r>
      <w:proofErr w:type="spellEnd"/>
      <w:r>
        <w:rPr>
          <w:rFonts w:ascii="Arial" w:hAnsi="Arial" w:cs="Arial"/>
          <w:color w:val="000000"/>
          <w:sz w:val="23"/>
          <w:szCs w:val="23"/>
        </w:rPr>
        <w:t>». Ук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занный уровень рейтинга присвоен в 2018 году и сохраняется на протяжении шести лет.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Значение рейтинга соответствует уровню развитых регионов Российской Ф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дерации.</w:t>
      </w:r>
    </w:p>
    <w:p w:rsidR="00E53045" w:rsidRDefault="00E53045" w:rsidP="00237720">
      <w:pPr>
        <w:numPr>
          <w:ilvl w:val="0"/>
          <w:numId w:val="12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результате проводимой работы по повышению открытости бю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жетных данных Чувашская Республика, начиная с 2017 года, входит в лидир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ющую группу регионов с очень высоким уровнем открытости бюджетных данных (Группа А), дв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жды заняв первое место среди субъектов РФ.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Портале управления общественными финансами Чувашской Республики и официальном сайте Минфина Чувашии размещается вся необходимая аналитич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ская информация о бюджете, которой может воспользоваться любой желающий. К законам о бюджете, законам об исполнении бюджета составляется «Бюджет для граждан», который размещается как в электронном виде на Портале управления о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щественными финансами Чувашской Республики, так и в виде брошюры вместе с остальными аналитическими материалами к бюджету.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Согласно последней оценке ФГБУ «Научно-исследовательский финансовый институт» уровень открытости бюджетных данных Чувашской Республики за 2023 год составил 94,7%, что соответствует очень высокому уровню открытости бюджетных данных (8 место среди субъектов Российской Федерации).</w:t>
      </w:r>
    </w:p>
    <w:p w:rsidR="00E53045" w:rsidRDefault="00E53045" w:rsidP="00237720">
      <w:pPr>
        <w:numPr>
          <w:ilvl w:val="0"/>
          <w:numId w:val="13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Правительством Чувашской Республики большое внимание уделяется поддержанию устойчивости и сбалансированности местных бюджетов, усилению о</w:t>
      </w:r>
      <w:r>
        <w:rPr>
          <w:rFonts w:ascii="Arial" w:hAnsi="Arial" w:cs="Arial"/>
          <w:color w:val="000000"/>
          <w:sz w:val="23"/>
          <w:szCs w:val="23"/>
        </w:rPr>
        <w:t>т</w:t>
      </w:r>
      <w:r>
        <w:rPr>
          <w:rFonts w:ascii="Arial" w:hAnsi="Arial" w:cs="Arial"/>
          <w:color w:val="000000"/>
          <w:sz w:val="23"/>
          <w:szCs w:val="23"/>
        </w:rPr>
        <w:t>ветственности органов местного самоуправления муниципальных образований за проводимую бюджетную политику.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Законом Чувашской Республики от 30 ноября 2023 года № 89 «О республика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ском бюджете Чувашской Республики на 2024 год и на плановый период 2025 и 2026 годов» межбюджетные трансферты бюджетам муниципальных округов и городских округов на 2024 год предусмотрены в сумме 32792,2 млн. рублей, с ростом к факту 2023 года на 11,8%, или на 3469,5 млн. рублей, в том числе дотации на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выравнивание бюджетной обеспеченности муниципальных округов, городских округов – 2226,8 млн. рублей (рост к 2023 году – на 5,4%), субвенции – 18360,8 млн. рублей (рост на 20,7%), субсидии – 10679,3 млн. рублей (рост на 7,6%), иные межбюджетные трансферты – 1525,3 млн. рублей (снижение на 26,3%).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1 ноября 2024 года в бюджеты муниципальных округов и городских округов поступили доходы в сумме 34900,1 млн. рублей (78,3% к годовым плановым назнач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ниям), с ростом к уровню аналогичного периода 2023 года на 10,7%.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Собственные (налоговые и неналоговые) доходы исполнены в сумме 11814,3 млн. рублей (84,5% от годовых плановых назначений), с ростом к уровню аналогичн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го периода 2023 года на 20,6%.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Пункт 4</w:t>
      </w:r>
    </w:p>
    <w:p w:rsidR="00E53045" w:rsidRDefault="00E53045" w:rsidP="00237720">
      <w:pPr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целях своевременного проведения главными распорядителями средств республиканского бюджета Чувашской Республики (далее – ГРБС) конкур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ных процедур и заключения контрактов для обеспечения государственных нужд Гос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дарственной службой Чувашской Республики по конкурентной политике и тарифам проводился анализ планирования и заключения госуда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ственных контрактов с учетом лимитов бюджетных обязательств, утвержде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ных планов-графиков и размещенных закупок государственных заказчиков.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2024 году закупки товаров, работ, услуг для обеспечения государственных нужд Чувашской Республики государственными заказчиками проводились в соотве</w:t>
      </w:r>
      <w:r>
        <w:rPr>
          <w:rFonts w:ascii="Arial" w:hAnsi="Arial" w:cs="Arial"/>
          <w:color w:val="000000"/>
          <w:sz w:val="23"/>
          <w:szCs w:val="23"/>
        </w:rPr>
        <w:t>т</w:t>
      </w:r>
      <w:r>
        <w:rPr>
          <w:rFonts w:ascii="Arial" w:hAnsi="Arial" w:cs="Arial"/>
          <w:color w:val="000000"/>
          <w:sz w:val="23"/>
          <w:szCs w:val="23"/>
        </w:rPr>
        <w:t>ствии с утвержденными планами-графиками закупок.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целях повышения эффективности использования бюджетных сре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дств в т</w:t>
      </w:r>
      <w:proofErr w:type="gramEnd"/>
      <w:r>
        <w:rPr>
          <w:rFonts w:ascii="Arial" w:hAnsi="Arial" w:cs="Arial"/>
          <w:color w:val="000000"/>
          <w:sz w:val="23"/>
          <w:szCs w:val="23"/>
        </w:rPr>
        <w:t>еч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ние года проводилась работа по внесению изменений в правила предоставления средств из республиканского бюджета Чувашской Республики в части установления сроков заключения государственных (муниципальных) контрактов, договоров, заве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шения работ на реализуемых объектах за счет собственных средств, при невыполн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нии которых осуществляется перераспределение средств.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Лимиты бюджетных обязательств на поставку товаров, выполнение работ, ок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зание услуг по состоянию на 1 ноября 2024 года до государственных заказчиков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 доведены в сумме 22290,0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состоянию на 1 ноября 2024 года планы-графики закупок государственных заказчиков Чувашской Республики утверждены на 21570,5 млн. рублей (96,7% от 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митов бюджетных обязательств).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Заказчиками размещено закупок на сумму 18853,5 млн. рублей, заключено ко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трактов на сумму 16067,0 млн. рублей (72,0% от лимитов бюджетных обязательств).</w:t>
      </w:r>
    </w:p>
    <w:p w:rsidR="00E53045" w:rsidRDefault="00E53045" w:rsidP="00237720">
      <w:pPr>
        <w:numPr>
          <w:ilvl w:val="0"/>
          <w:numId w:val="15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По состоянию на 1 октября 2024 года расходы республиканского бюдж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та Чувашской Республики составили 64699,6 млн. рублей, или 107,1% к аналогичному периоду 2023 года (60418,4 млн. рублей), в том числе расходы на социально-культурную сферу составили 45461,3 млн. рублей, или 110,0% к аналогичному пери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ду 2023 года (41345,6 млн. рублей), из них расходы на о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разование – 22405,7 млн. рублей, социальную политику – 14546,9 млн. рублей</w:t>
      </w:r>
      <w:proofErr w:type="gramEnd"/>
      <w:r>
        <w:rPr>
          <w:rFonts w:ascii="Arial" w:hAnsi="Arial" w:cs="Arial"/>
          <w:color w:val="000000"/>
          <w:sz w:val="23"/>
          <w:szCs w:val="23"/>
        </w:rPr>
        <w:t>, здравоохранение – 5093,2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 январь–сентябрь 2024 года расходы республиканской адресной инвестиц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онной программы освоены в сумме 7367,1 млн. рублей, с ростом к аналогичному п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риоду 2023 года на 15,9% (за январь–сентябрь 2023 года – 6357,1 млн. рублей).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Бюджетные ассигнования, предусмотренные в консолидированном бюджете Чувашской Республики на реализацию региональных проектов Чувашской Республ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ки, на 1 октября 2024 года освоены в объеме 8280,1 млн. рублей, или на 54,6% от 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довых плановых назначений (за январь–сентябрь 2023 года – 9946,3 млн. рублей и 67,0% соответственно).</w:t>
      </w:r>
    </w:p>
    <w:p w:rsidR="00E53045" w:rsidRDefault="00E53045" w:rsidP="00237720">
      <w:pPr>
        <w:numPr>
          <w:ilvl w:val="0"/>
          <w:numId w:val="16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В 2024 году в Чувашской Республике осуществляется реализация 49 р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гиональных проектов в рамках 13 национальных проектов (программ).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По оценке проектного офиса Правительства Российской Федерации совместно с Федеральным казначейством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 ГАС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«Управление» в 2024 году Чувашская Респу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лика уверенно входит в топ-10 субъектов Российской Федерации по уровню достиж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ния национальных проектов. По данному показателю республика в рейтинге реги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нов, начиная с мая 2024 года, занимает 2 и 3 места.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сентябре 2024 года уровень достижения национальных проектов в республ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 xml:space="preserve">ке составил 99,98%, что на 1,92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п.п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выше, чем в среднем по Российской Федерации и на 2,06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п.п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выше, чем в среднем по Приволжскому федеральному округу (далее – ПФО), что обеспечило региону 3 место среди субъектов Российской Федерации и 1 место среди субъектов ПФО.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реализацию нацпроектов в Чувашской Республике в 2024 году за счет всех источников предусмотрено финансирование в объеме 21,5 млрд. рублей, из них бю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жетные средства составляют 15,9 млрд. рублей, или 74%.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Наиболее ресурсоемкими являются 5 из 13 реализуемых на сегодня нацпрое</w:t>
      </w:r>
      <w:r>
        <w:rPr>
          <w:rFonts w:ascii="Arial" w:hAnsi="Arial" w:cs="Arial"/>
          <w:color w:val="000000"/>
          <w:sz w:val="23"/>
          <w:szCs w:val="23"/>
        </w:rPr>
        <w:t>к</w:t>
      </w:r>
      <w:r>
        <w:rPr>
          <w:rFonts w:ascii="Arial" w:hAnsi="Arial" w:cs="Arial"/>
          <w:color w:val="000000"/>
          <w:sz w:val="23"/>
          <w:szCs w:val="23"/>
        </w:rPr>
        <w:t xml:space="preserve">тов: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«Образование» (6,6 млрд. рублей), «Безопасные качественные дороги» (3,8 млрд. рублей), «Здравоохранение» (1,4 млрд. рублей), «Демография» и «Жилье и 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родская среда» (по 0,9 млрд. рублей), на реализацию которых направлено более 85% всех бюджетных ассигнований, предусмотренных на национальные проекты.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текущем году в рамках этих проектов осуществляется строительство (реко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струкция) 35 объектов капитального строительства с общим объемом финансиров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ния 7,4 млрд. рублей, из них федеральные средства составляют 4,4 млрд. рублей, или 59,5%.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 9 месяцев 2024 года освоено 4,2 млрд. рублей, или 56,8% от годового лим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 xml:space="preserve">та.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Завершено строительство 10 объектов капитального строительства (IX пускового комплекса группового водовода Шемуршинского, Батыревского, Комсомольского м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 xml:space="preserve">ниципальных округов, 3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ФАПов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и 5 врачебных амбулаторий, устройства искусственн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 xml:space="preserve">го электроосвещения на автодороге «Волга» –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Марпосад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на участке км 30+350 км – 32+958 в Мариинско-Посадском муниципальном округе (1 этап).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Всего до конца года планируется ввести в эксплуатацию еще 16 объектов, из них наиболее значимыми являются следующие: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школа на 1500 мест в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мкр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«Университетский» г. Чебоксары;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Дом культуры в Козловском муниципальном округе;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детская школа искусств в Аликовском муниципальном округе;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новое здание поликлиники в Канашском муниципальном округе и 4 врачебные амбулатории, отделения общеврачебных практик в муниципальных округах Чува</w:t>
      </w:r>
      <w:r>
        <w:rPr>
          <w:rFonts w:ascii="Arial" w:hAnsi="Arial" w:cs="Arial"/>
          <w:color w:val="000000"/>
          <w:sz w:val="23"/>
          <w:szCs w:val="23"/>
        </w:rPr>
        <w:t>ш</w:t>
      </w:r>
      <w:r>
        <w:rPr>
          <w:rFonts w:ascii="Arial" w:hAnsi="Arial" w:cs="Arial"/>
          <w:color w:val="000000"/>
          <w:sz w:val="23"/>
          <w:szCs w:val="23"/>
        </w:rPr>
        <w:t>ской Республики;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VIII пусковой комплекс группового водовода Шемуршинского, Батыревского, Комсомольского муниципальных округов Чувашской Республики;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4 объекта дорожного строительства и другие.</w:t>
      </w:r>
    </w:p>
    <w:p w:rsidR="00E53045" w:rsidRDefault="00E53045" w:rsidP="00237720">
      <w:pPr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В 2024 году исполнительными органами Чувашской Республикой закл</w:t>
      </w:r>
      <w:r>
        <w:rPr>
          <w:rFonts w:ascii="Arial" w:hAnsi="Arial" w:cs="Arial"/>
          <w:color w:val="000000"/>
          <w:sz w:val="23"/>
          <w:szCs w:val="23"/>
        </w:rPr>
        <w:t>ю</w:t>
      </w:r>
      <w:r>
        <w:rPr>
          <w:rFonts w:ascii="Arial" w:hAnsi="Arial" w:cs="Arial"/>
          <w:color w:val="000000"/>
          <w:sz w:val="23"/>
          <w:szCs w:val="23"/>
        </w:rPr>
        <w:t>чены соглашения с соответствующими федеральными органами исполнительной власти на предоставление межбюджетных субсидий республиканскому бюджету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 в общей сумме 14789,9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Исполнительными органами Чувашской Республики в сроки, установленные в соглашениях с федеральными органами исполнительной власти, посредством гос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дарственной интегрированной информационной системы управления общественными финансами «Электронный бюджет» в федеральные органы исполнительной власти предоставляется отчетность об осуществлении расходов республиканского бюджета Чувашской Республики, в целях софинансирования которых предоставляется субс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дия из федерального бюджета, а также о достижении значений результатов испол</w:t>
      </w:r>
      <w:r>
        <w:rPr>
          <w:rFonts w:ascii="Arial" w:hAnsi="Arial" w:cs="Arial"/>
          <w:color w:val="000000"/>
          <w:sz w:val="23"/>
          <w:szCs w:val="23"/>
        </w:rPr>
        <w:t>ь</w:t>
      </w:r>
      <w:r>
        <w:rPr>
          <w:rFonts w:ascii="Arial" w:hAnsi="Arial" w:cs="Arial"/>
          <w:color w:val="000000"/>
          <w:sz w:val="23"/>
          <w:szCs w:val="23"/>
        </w:rPr>
        <w:t>зования субсидии и об исполнении графика выполнения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мероприятий по проектир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ванию и (или) строительству (реконструкции) объектов капитального строительства государственной (муниципальной) собственности.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Исполнительными органами Чувашской Республики в целях повышения кач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ства и соблюдения сроков реализации инвестиционных проектов осуществляется контроль на постоянной основе за выполнением подрядными организациями дог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ворных обязательств.</w:t>
      </w:r>
    </w:p>
    <w:p w:rsidR="00E53045" w:rsidRDefault="00E53045" w:rsidP="00237720">
      <w:pPr>
        <w:numPr>
          <w:ilvl w:val="0"/>
          <w:numId w:val="18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Закона Чувашской Республики от 30 ноября 2023 года № 89 «О республиканском бюджете Чувашской Республики на 2024 год и на плановый период 2025 и 2026 годов» ГРБС заключено 584 соглашения с администр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циями муниципальных округов и городских округов о предоставлении субсидий и иных межбюджетных трансфертов, имеющих целевое назначение, из республика</w:t>
      </w:r>
      <w:r>
        <w:rPr>
          <w:rFonts w:ascii="Arial" w:hAnsi="Arial" w:cs="Arial"/>
          <w:color w:val="000000"/>
          <w:sz w:val="23"/>
          <w:szCs w:val="23"/>
        </w:rPr>
        <w:t>н</w:t>
      </w:r>
      <w:r>
        <w:rPr>
          <w:rFonts w:ascii="Arial" w:hAnsi="Arial" w:cs="Arial"/>
          <w:color w:val="000000"/>
          <w:sz w:val="23"/>
          <w:szCs w:val="23"/>
        </w:rPr>
        <w:t>ского бюджета Чувашской Республики бюджетам мун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ципальных округов и городских округов.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рамках реализации перечня мероприятий по реализации Закона Чувашской Республики от 29 марта 2024 года № 7 «О внесении изменений в Закон Чувашской Республики «О республиканском бюджете Чувашской Республики на 2024 год и на плановый период 2025 и 2026 годов» с администрациями муниципальных образов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ний заключено 294 соглашения о предоставлении субсидий и иных межбюджетных трансфертов, имеющих целевое назначение, бюджетам муниципальных округов и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родских округов.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настоящее время ведется работа по заключению соглашений о предоста</w:t>
      </w:r>
      <w:r>
        <w:rPr>
          <w:rFonts w:ascii="Arial" w:hAnsi="Arial" w:cs="Arial"/>
          <w:color w:val="000000"/>
          <w:sz w:val="23"/>
          <w:szCs w:val="23"/>
        </w:rPr>
        <w:t>в</w:t>
      </w:r>
      <w:r>
        <w:rPr>
          <w:rFonts w:ascii="Arial" w:hAnsi="Arial" w:cs="Arial"/>
          <w:color w:val="000000"/>
          <w:sz w:val="23"/>
          <w:szCs w:val="23"/>
        </w:rPr>
        <w:t>лении межбюджетных трансфертов бюджетам муниципальных и городских округов в рамках реализации Закона Чувашской Республики от 8 октября 2024 года № 49 «О внесении изменений в Закон Чувашской Республики «О республиканском бюджете Чувашской Республики на 2024 год и на плановый период 2025 и 2026 годов».</w:t>
      </w:r>
      <w:proofErr w:type="gramEnd"/>
    </w:p>
    <w:p w:rsidR="00E53045" w:rsidRDefault="00E53045" w:rsidP="00237720">
      <w:pPr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состоянию на 1 октября 2024 года просроченная кредиторская з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долженность республиканского бюджета Чувашской Республики отсутствует.</w:t>
      </w:r>
    </w:p>
    <w:p w:rsidR="00E53045" w:rsidRDefault="00E53045" w:rsidP="00237720">
      <w:pPr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Предложения (рекомендации) Контрольно-счетной палаты Чувашской Республики, направляемые по результатам контрольных и экспертно-аналитических мероприятий, в части использования бюджетных ресурсов учитывались в течение 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да.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Style w:val="af2"/>
          <w:rFonts w:ascii="Arial" w:hAnsi="Arial" w:cs="Arial"/>
          <w:color w:val="000000"/>
          <w:sz w:val="23"/>
          <w:szCs w:val="23"/>
        </w:rPr>
        <w:t>Пункт 5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2024 году в соответствии с планом работы Контрольно-счетной палаты Ч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вашской Республики в рамках осуществления внешнего государственного (муниц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lastRenderedPageBreak/>
        <w:t>пального) финансового контроля проведено (завершено) 23 контрольных меропри</w:t>
      </w:r>
      <w:r>
        <w:rPr>
          <w:rFonts w:ascii="Arial" w:hAnsi="Arial" w:cs="Arial"/>
          <w:color w:val="000000"/>
          <w:sz w:val="23"/>
          <w:szCs w:val="23"/>
        </w:rPr>
        <w:t>я</w:t>
      </w:r>
      <w:r>
        <w:rPr>
          <w:rFonts w:ascii="Arial" w:hAnsi="Arial" w:cs="Arial"/>
          <w:color w:val="000000"/>
          <w:sz w:val="23"/>
          <w:szCs w:val="23"/>
        </w:rPr>
        <w:t>тия, в том числе 1 аудит эффективности использования средств республиканского бюджета Чувашской Республики, 22 (выездные) проверки законности, результативн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сти (эффективности и экономности) использования бюджетных средств.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Контрольно-счетной палатой Чувашской Республики осуществляется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контроль за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устранением выявленных нарушений и недостатков.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f2"/>
          <w:rFonts w:ascii="Arial" w:hAnsi="Arial" w:cs="Arial"/>
          <w:color w:val="000000"/>
          <w:sz w:val="23"/>
          <w:szCs w:val="23"/>
        </w:rPr>
        <w:t> Пункт 6</w:t>
      </w:r>
    </w:p>
    <w:p w:rsidR="00E53045" w:rsidRDefault="00E53045" w:rsidP="00237720">
      <w:pPr>
        <w:numPr>
          <w:ilvl w:val="0"/>
          <w:numId w:val="20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Бюджеты муниципальных округов и бюджеты городских округов на 2024 год и плановый период 2025 и 2026 годов сформированы в соответствии с требов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ниями, установленными Бюджетным кодексом Российской Федер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ции.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данным администраций муниципальных образований, расчет показателей местных бюджетов произведен исходя из основных показателей прогноза социально-экономического развития муниципальных образований на 2024 год и на плановый п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риод 2025 и 2026 годов.</w:t>
      </w:r>
    </w:p>
    <w:p w:rsidR="00E53045" w:rsidRDefault="00E53045" w:rsidP="00237720">
      <w:pPr>
        <w:numPr>
          <w:ilvl w:val="0"/>
          <w:numId w:val="21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Доля налоговых и неналоговых доходов бюджетов муниципальных окр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гов и бюджетов городских округов (за исключением поступлений нал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говых доходов по дополнительным нормативам отчислений) в общем объеме собственных доходов (без учета субвенций) в среднем по муниципальным образованиям за 2023 год ув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личилась и составила 38,4% (за 2022 год – 33,9%).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Наибольшее значение указанного показателя отмечается в городах Чебоксары (69,2%), Канаше (46,6%) и Алатыре (34,0%), наименьшее – в Мариинско-Посадском (11,4%), Канашском (12,0%), Аликовском (15,4%), Красночетайском (15,9%) муниц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пальных округах.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2023 году рост доли налоговых и неналоговых доходов местного бюджета (за исключением поступлений налоговых доходов по дополнительным нормативам о</w:t>
      </w:r>
      <w:r>
        <w:rPr>
          <w:rFonts w:ascii="Arial" w:hAnsi="Arial" w:cs="Arial"/>
          <w:color w:val="000000"/>
          <w:sz w:val="23"/>
          <w:szCs w:val="23"/>
        </w:rPr>
        <w:t>т</w:t>
      </w:r>
      <w:r>
        <w:rPr>
          <w:rFonts w:ascii="Arial" w:hAnsi="Arial" w:cs="Arial"/>
          <w:color w:val="000000"/>
          <w:sz w:val="23"/>
          <w:szCs w:val="23"/>
        </w:rPr>
        <w:t>числений) в общем объеме собственных доходов бюджета муниципального образ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вания (без учета субвенций) отмечен в 8 муниципальных образованиях, при этом наибольший рост в городах Чебоксары (на 22,9 процентных пункта) и Алатыре (на 7,2 процентных пункта).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Указанный показатель снизился в 13 муниципальных образов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ниях, при этом наибольшее снижение отмечено в Порецком (на 10,3 процентных пункта) и Канашском (на 9,6 процентных пункта) муниципальных округах и в городе Новочебоксарске (на 9,6 процентных пункта).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Рост поступлений собственных (налоговых и неналоговых) доходов (за искл</w:t>
      </w:r>
      <w:r>
        <w:rPr>
          <w:rFonts w:ascii="Arial" w:hAnsi="Arial" w:cs="Arial"/>
          <w:color w:val="000000"/>
          <w:sz w:val="23"/>
          <w:szCs w:val="23"/>
        </w:rPr>
        <w:t>ю</w:t>
      </w:r>
      <w:r>
        <w:rPr>
          <w:rFonts w:ascii="Arial" w:hAnsi="Arial" w:cs="Arial"/>
          <w:color w:val="000000"/>
          <w:sz w:val="23"/>
          <w:szCs w:val="23"/>
        </w:rPr>
        <w:t>чением поступлений налоговых доходов по дополнительным нормативам отчислений) в 2023 году составил 25,0% к 2022 году.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20 муниципальных образованиях обеспечено поступление собственных д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ходов (за исключением поступлений налоговых доходов по дополнительным норм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тивам отчислений) выше уровня 2022 года: наибольший рост в Урмарском муниц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пальном округе (на 42,0%) и в городах Алатыре (на 35,7%), Канаше (на 34,9%) и 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боксары (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на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34,5%).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6 муниципальных образованиях поступление собственных доходов (за и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ключением поступлений налоговых доходов по дополнительным нормативам отчи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лений) ниже уровня 2022 года, что обусловлено следующими факторами: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изменением дополнительных нормативов отчислений от налога на доходы ф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зических лиц (далее – НДФЛ) с одновременным увеличением объема дотаций на в</w:t>
      </w:r>
      <w:r>
        <w:rPr>
          <w:rFonts w:ascii="Arial" w:hAnsi="Arial" w:cs="Arial"/>
          <w:color w:val="000000"/>
          <w:sz w:val="23"/>
          <w:szCs w:val="23"/>
        </w:rPr>
        <w:t>ы</w:t>
      </w:r>
      <w:r>
        <w:rPr>
          <w:rFonts w:ascii="Arial" w:hAnsi="Arial" w:cs="Arial"/>
          <w:color w:val="000000"/>
          <w:sz w:val="23"/>
          <w:szCs w:val="23"/>
        </w:rPr>
        <w:t>равнивание в рамках межбюджетного регулирования;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изменение доходной базы муниципального округа (городского округа) (факт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ры, связанные с изменением конъюнктуры рынка для налогоплательщика, переносом производства за пределы территории муниципального округа (городского округа), банкротством с последующей ликвидацией организации, приводящие к выпадающим доходам бюджета).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Наибольшее снижение в Шумерлинском (на 29,4%) и Порецком (на 26,2%) м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ниципальных округах.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По состоянию на 1 ноября 2024 года в местные бюджеты собственные (налог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вые и неналоговые) доходы поступили в сумме 11814,3 млн. рублей, или 84,5% к плану (13985,8 млн. рублей), с ростом к уровню аналогичного периода 2023 года на 20,6%. Основной рост собственных (налоговых и неналоговых) доходов обеспечен за счет роста НДФЛ на 23,0% к аналогичному уровню 2023 года.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24 муниципальных образованиях обеспечено поступление собственных (налоговых и неналоговых) доходов выше уровня аналогичного периода 2023 года.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2 муниципальных образованиях поступление собственных (налоговых и н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налоговых) доходов ниже аналогичного периода 2023 года: в Ибресинском (на 9,7%) и Шумерлинском (на 60,3%) муниципальных округах, что обусловлено изменением д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ходной базы муниципального округа. При этом в рамках межбюджетного регулиров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ния бюджетам муниципальных округов (городских округов) на 2024 год предусмотрен объем дотаций на поддержку мер по обеспечению сбалансированности в сумме 114,0 млн. рублей, в том числе на компенсацию выпадающих доходов, связных с измен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нием налогового потенциала, в сумме 50,0 млн. рублей.</w:t>
      </w:r>
    </w:p>
    <w:p w:rsidR="00E53045" w:rsidRDefault="00E53045" w:rsidP="00237720">
      <w:pPr>
        <w:numPr>
          <w:ilvl w:val="0"/>
          <w:numId w:val="22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рамках соглашений о мерах по социально-экономическому ра</w:t>
      </w:r>
      <w:r>
        <w:rPr>
          <w:rFonts w:ascii="Arial" w:hAnsi="Arial" w:cs="Arial"/>
          <w:color w:val="000000"/>
          <w:sz w:val="23"/>
          <w:szCs w:val="23"/>
        </w:rPr>
        <w:t>з</w:t>
      </w:r>
      <w:r>
        <w:rPr>
          <w:rFonts w:ascii="Arial" w:hAnsi="Arial" w:cs="Arial"/>
          <w:color w:val="000000"/>
          <w:sz w:val="23"/>
          <w:szCs w:val="23"/>
        </w:rPr>
        <w:t>витию и оздоровлению муниципальных финансов, заключенных Минфином Чувашии с глав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ми муниципальных округов и городских округов, одним из обязательств муниципал</w:t>
      </w:r>
      <w:r>
        <w:rPr>
          <w:rFonts w:ascii="Arial" w:hAnsi="Arial" w:cs="Arial"/>
          <w:color w:val="000000"/>
          <w:sz w:val="23"/>
          <w:szCs w:val="23"/>
        </w:rPr>
        <w:t>ь</w:t>
      </w:r>
      <w:r>
        <w:rPr>
          <w:rFonts w:ascii="Arial" w:hAnsi="Arial" w:cs="Arial"/>
          <w:color w:val="000000"/>
          <w:sz w:val="23"/>
          <w:szCs w:val="23"/>
        </w:rPr>
        <w:t>ных образований является направление на согласование в Минфин Чувашии прое</w:t>
      </w:r>
      <w:r>
        <w:rPr>
          <w:rFonts w:ascii="Arial" w:hAnsi="Arial" w:cs="Arial"/>
          <w:color w:val="000000"/>
          <w:sz w:val="23"/>
          <w:szCs w:val="23"/>
        </w:rPr>
        <w:t>к</w:t>
      </w:r>
      <w:r>
        <w:rPr>
          <w:rFonts w:ascii="Arial" w:hAnsi="Arial" w:cs="Arial"/>
          <w:color w:val="000000"/>
          <w:sz w:val="23"/>
          <w:szCs w:val="23"/>
        </w:rPr>
        <w:t>тов муниципальных правовых актов, предусматривающих принятие новых видов ра</w:t>
      </w:r>
      <w:r>
        <w:rPr>
          <w:rFonts w:ascii="Arial" w:hAnsi="Arial" w:cs="Arial"/>
          <w:color w:val="000000"/>
          <w:sz w:val="23"/>
          <w:szCs w:val="23"/>
        </w:rPr>
        <w:t>с</w:t>
      </w:r>
      <w:r>
        <w:rPr>
          <w:rFonts w:ascii="Arial" w:hAnsi="Arial" w:cs="Arial"/>
          <w:color w:val="000000"/>
          <w:sz w:val="23"/>
          <w:szCs w:val="23"/>
        </w:rPr>
        <w:t>ходных обязательств.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 согласовании проектов муниципальных правовых актов, предусматрива</w:t>
      </w:r>
      <w:r>
        <w:rPr>
          <w:rFonts w:ascii="Arial" w:hAnsi="Arial" w:cs="Arial"/>
          <w:color w:val="000000"/>
          <w:sz w:val="23"/>
          <w:szCs w:val="23"/>
        </w:rPr>
        <w:t>ю</w:t>
      </w:r>
      <w:r>
        <w:rPr>
          <w:rFonts w:ascii="Arial" w:hAnsi="Arial" w:cs="Arial"/>
          <w:color w:val="000000"/>
          <w:sz w:val="23"/>
          <w:szCs w:val="23"/>
        </w:rPr>
        <w:t>щих принятие новых видов расходных обязательств, учитываются требования статьи 83 Бюджетного кодекса Российской Федерации.</w:t>
      </w:r>
    </w:p>
    <w:p w:rsidR="00E53045" w:rsidRDefault="00E53045" w:rsidP="00237720">
      <w:pPr>
        <w:numPr>
          <w:ilvl w:val="0"/>
          <w:numId w:val="23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За 9 месяцев 2024 года бюджетам муниципальных округов и бюджетам городских округов предоставлены в порядке межбюджетных трансфе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тов средства республиканского бюджета Чувашской Республики в общей сумме 21922,7 млн. ру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лей, что составляет 70,2% к уточненным годовым назнач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ниям (31253,1 млн. рублей), из них за счет средств, поступивших из федерал</w:t>
      </w:r>
      <w:r>
        <w:rPr>
          <w:rFonts w:ascii="Arial" w:hAnsi="Arial" w:cs="Arial"/>
          <w:color w:val="000000"/>
          <w:sz w:val="23"/>
          <w:szCs w:val="23"/>
        </w:rPr>
        <w:t>ь</w:t>
      </w:r>
      <w:r>
        <w:rPr>
          <w:rFonts w:ascii="Arial" w:hAnsi="Arial" w:cs="Arial"/>
          <w:color w:val="000000"/>
          <w:sz w:val="23"/>
          <w:szCs w:val="23"/>
        </w:rPr>
        <w:t>ного бюджета, – 2263,5 млн. рублей (68,3%, план – 3312,7 млн. рублей), республиканского бюджета Чувашской Республ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ки – 19659,2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млн. рублей (71,5%, план – 27940,4 млн. рублей), в том числе пред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ставленных в форме: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субсидий – в объеме 5074,2 млн. рублей, или 54,0% к плановым назначениям (9395,7 млн. рублей);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субвенций – в объеме 14132,6 млн. рублей, или 78,0% к плановым назначен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ям (18109,9 млн. рублей);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иных межбюджетных трансфертов – в объеме 1044,5 млн. рублей, или 68,7% к плановым назначениям (1520,7 млн. рублей).</w:t>
      </w:r>
    </w:p>
    <w:p w:rsidR="00E53045" w:rsidRDefault="00E53045" w:rsidP="00237720">
      <w:pPr>
        <w:numPr>
          <w:ilvl w:val="0"/>
          <w:numId w:val="24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Объем муниципального долга на 1 января 2024 года составил 2709,9 млн. рублей, на 1 ноября 2024 года составил 2195,3 млн. рублей (сн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жен к 1 января 2024 года на 514,6 млн. рублей). Наибольшая долговая нагрузка отмечается в бю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жете города Чебоксары.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Одной из эффективных федеральных и региональных мер государственной поддержки, действующих в настоящее время, является предоставление бюджетам муниципальных образований бюджетных кредитов из федерального и регионального бюджетов, в том числе в случае ухудшения экономической ситуации.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 2020 году, учитывая влияние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ковидных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ограничений на поступление со</w:t>
      </w:r>
      <w:r>
        <w:rPr>
          <w:rFonts w:ascii="Arial" w:hAnsi="Arial" w:cs="Arial"/>
          <w:color w:val="000000"/>
          <w:sz w:val="23"/>
          <w:szCs w:val="23"/>
        </w:rPr>
        <w:t>б</w:t>
      </w:r>
      <w:r>
        <w:rPr>
          <w:rFonts w:ascii="Arial" w:hAnsi="Arial" w:cs="Arial"/>
          <w:color w:val="000000"/>
          <w:sz w:val="23"/>
          <w:szCs w:val="23"/>
        </w:rPr>
        <w:t>ственных доходов местных бюджетов, в целях сокращения долговых обязательств по рыночным заимствованиям бюджету города Чебоксары из республиканского бюджета Чувашской Республики предоставлен бюджетный кредит на погашение долговых об</w:t>
      </w:r>
      <w:r>
        <w:rPr>
          <w:rFonts w:ascii="Arial" w:hAnsi="Arial" w:cs="Arial"/>
          <w:color w:val="000000"/>
          <w:sz w:val="23"/>
          <w:szCs w:val="23"/>
        </w:rPr>
        <w:t>я</w:t>
      </w:r>
      <w:r>
        <w:rPr>
          <w:rFonts w:ascii="Arial" w:hAnsi="Arial" w:cs="Arial"/>
          <w:color w:val="000000"/>
          <w:sz w:val="23"/>
          <w:szCs w:val="23"/>
        </w:rPr>
        <w:t>зательств в сумме 1,0 млрд. рублей со сроком погашения в декабре 2024 года. Эк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номия по выплате процентов у бюджета города Чебоксары за период пользования бюджетным кредитом оценочно составляет 290,3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Сложившиеся социально-экономические условия обусловили серьезный риск увеличения финансовой нагрузки на местные бюджеты по обслуживанию коммерч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ского долга в связи с резким увеличением размера ключевой ставки Банка России: в феврале 2022 года ставка повышалась до уровня 20%, к июлю 2023 года ставка п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этапно снизилась до уровня 8,5%, но во втором полугодии 2023 года ставка резко увеличилась до уровня 16%. 25 октября 2024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года ключевая ставка Банка России п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вышена до уровня 21%.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2022 году, учитывая геополитическую обстановку и долговую нагрузку, бю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жетам городов Чебоксары и Алатыря предоставлен бюджетный кредит для погаш</w:t>
      </w:r>
      <w:r>
        <w:rPr>
          <w:rFonts w:ascii="Arial" w:hAnsi="Arial" w:cs="Arial"/>
          <w:color w:val="000000"/>
          <w:sz w:val="23"/>
          <w:szCs w:val="23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ния долговых обязательств муниципального образования в виде обязательств по м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ниципальным ценным бумагам муниципального образования и кредитам, полученным от кредитных организаций, сложившихся на 1 января 2022 года и подлежащих пог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шению в марте–декабре 2022 года (за счет средств федерального бюджета), – в су</w:t>
      </w:r>
      <w:r>
        <w:rPr>
          <w:rFonts w:ascii="Arial" w:hAnsi="Arial" w:cs="Arial"/>
          <w:color w:val="000000"/>
          <w:sz w:val="23"/>
          <w:szCs w:val="23"/>
        </w:rPr>
        <w:t>м</w:t>
      </w:r>
      <w:r>
        <w:rPr>
          <w:rFonts w:ascii="Arial" w:hAnsi="Arial" w:cs="Arial"/>
          <w:color w:val="000000"/>
          <w:sz w:val="23"/>
          <w:szCs w:val="23"/>
        </w:rPr>
        <w:t>ме 1138,0 млн</w:t>
      </w:r>
      <w:proofErr w:type="gramEnd"/>
      <w:r>
        <w:rPr>
          <w:rFonts w:ascii="Arial" w:hAnsi="Arial" w:cs="Arial"/>
          <w:color w:val="000000"/>
          <w:sz w:val="23"/>
          <w:szCs w:val="23"/>
        </w:rPr>
        <w:t>. рублей со сроками погашения в 2025–2027 годах.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Принятые меры позволили снизить долговую нагрузку бюджетов муниципал</w:t>
      </w:r>
      <w:r>
        <w:rPr>
          <w:rFonts w:ascii="Arial" w:hAnsi="Arial" w:cs="Arial"/>
          <w:color w:val="000000"/>
          <w:sz w:val="23"/>
          <w:szCs w:val="23"/>
        </w:rPr>
        <w:t>ь</w:t>
      </w:r>
      <w:r>
        <w:rPr>
          <w:rFonts w:ascii="Arial" w:hAnsi="Arial" w:cs="Arial"/>
          <w:color w:val="000000"/>
          <w:sz w:val="23"/>
          <w:szCs w:val="23"/>
        </w:rPr>
        <w:t>ных образований и сократить расходы на обслуживание муниципального долга. Тол</w:t>
      </w:r>
      <w:r>
        <w:rPr>
          <w:rFonts w:ascii="Arial" w:hAnsi="Arial" w:cs="Arial"/>
          <w:color w:val="000000"/>
          <w:sz w:val="23"/>
          <w:szCs w:val="23"/>
        </w:rPr>
        <w:t>ь</w:t>
      </w:r>
      <w:r>
        <w:rPr>
          <w:rFonts w:ascii="Arial" w:hAnsi="Arial" w:cs="Arial"/>
          <w:color w:val="000000"/>
          <w:sz w:val="23"/>
          <w:szCs w:val="23"/>
        </w:rPr>
        <w:t>ко экономия по выплате процентов бюджетов муниципальных образований за 5 мес</w:t>
      </w:r>
      <w:r>
        <w:rPr>
          <w:rFonts w:ascii="Arial" w:hAnsi="Arial" w:cs="Arial"/>
          <w:color w:val="000000"/>
          <w:sz w:val="23"/>
          <w:szCs w:val="23"/>
        </w:rPr>
        <w:t>я</w:t>
      </w:r>
      <w:r>
        <w:rPr>
          <w:rFonts w:ascii="Arial" w:hAnsi="Arial" w:cs="Arial"/>
          <w:color w:val="000000"/>
          <w:sz w:val="23"/>
          <w:szCs w:val="23"/>
        </w:rPr>
        <w:t>цев 2022 года и за 2023 год составила порядка 353,6 млн. рублей.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Расходы на обслуживание муниципального долга по состоянию на 1 нояб</w:t>
      </w:r>
      <w:r>
        <w:rPr>
          <w:rFonts w:ascii="Arial" w:hAnsi="Arial" w:cs="Arial"/>
          <w:color w:val="000000"/>
          <w:sz w:val="23"/>
          <w:szCs w:val="23"/>
        </w:rPr>
        <w:softHyphen/>
        <w:t>ря 2024 года составили 37,5 млн. рублей (90,4% к утвержденному плану).</w:t>
      </w:r>
    </w:p>
    <w:p w:rsidR="00E53045" w:rsidRDefault="00E53045" w:rsidP="00237720">
      <w:pPr>
        <w:numPr>
          <w:ilvl w:val="0"/>
          <w:numId w:val="25"/>
        </w:numPr>
        <w:spacing w:before="100" w:beforeAutospacing="1" w:after="100" w:afterAutospacing="1"/>
        <w:ind w:left="0" w:firstLine="709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</w:rPr>
        <w:t>По итогам 2023 года просроченная кредиторская задолженность в мес</w:t>
      </w:r>
      <w:r>
        <w:rPr>
          <w:rFonts w:ascii="Arial" w:hAnsi="Arial" w:cs="Arial"/>
          <w:color w:val="000000"/>
          <w:sz w:val="23"/>
          <w:szCs w:val="23"/>
        </w:rPr>
        <w:t>т</w:t>
      </w:r>
      <w:r>
        <w:rPr>
          <w:rFonts w:ascii="Arial" w:hAnsi="Arial" w:cs="Arial"/>
          <w:color w:val="000000"/>
          <w:sz w:val="23"/>
          <w:szCs w:val="23"/>
        </w:rPr>
        <w:t>ных бюджетах отсутствовала. В 2023 году выделены иные межбюджетные трансфе</w:t>
      </w:r>
      <w:r>
        <w:rPr>
          <w:rFonts w:ascii="Arial" w:hAnsi="Arial" w:cs="Arial"/>
          <w:color w:val="000000"/>
          <w:sz w:val="23"/>
          <w:szCs w:val="23"/>
        </w:rPr>
        <w:t>р</w:t>
      </w:r>
      <w:r>
        <w:rPr>
          <w:rFonts w:ascii="Arial" w:hAnsi="Arial" w:cs="Arial"/>
          <w:color w:val="000000"/>
          <w:sz w:val="23"/>
          <w:szCs w:val="23"/>
        </w:rPr>
        <w:t>ты в сумме 50,9 млн. рублей на погашение просроченной задолженности муниц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пальных образований за потребленный теплоснабжающими организациями приро</w:t>
      </w:r>
      <w:r>
        <w:rPr>
          <w:rFonts w:ascii="Arial" w:hAnsi="Arial" w:cs="Arial"/>
          <w:color w:val="000000"/>
          <w:sz w:val="23"/>
          <w:szCs w:val="23"/>
        </w:rPr>
        <w:t>д</w:t>
      </w:r>
      <w:r>
        <w:rPr>
          <w:rFonts w:ascii="Arial" w:hAnsi="Arial" w:cs="Arial"/>
          <w:color w:val="000000"/>
          <w:sz w:val="23"/>
          <w:szCs w:val="23"/>
        </w:rPr>
        <w:t>ный газ.</w:t>
      </w:r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lastRenderedPageBreak/>
        <w:t>Согласно оперативным данным, представленным администрациями муниц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пальных образований, просроченная кредиторская задолженность по состоянию на 1 ноября 2024 года составила 83,9 млн. рублей, в том числе в бюджетах г. Алатыря (48,4 млн. рублей), Канашского муниципального округа (16,5 млн. рублей), г. Шумерли (19,0 млн. рублей).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Законом Чувашской Республики от 8 октября 2024 года № 49 «О внесении и</w:t>
      </w:r>
      <w:r>
        <w:rPr>
          <w:rFonts w:ascii="Arial" w:hAnsi="Arial" w:cs="Arial"/>
          <w:color w:val="000000"/>
          <w:sz w:val="23"/>
          <w:szCs w:val="23"/>
        </w:rPr>
        <w:t>з</w:t>
      </w:r>
      <w:r>
        <w:rPr>
          <w:rFonts w:ascii="Arial" w:hAnsi="Arial" w:cs="Arial"/>
          <w:color w:val="000000"/>
          <w:sz w:val="23"/>
          <w:szCs w:val="23"/>
        </w:rPr>
        <w:t>менений в Закон Чувашской Республики «О республиканском бюджете Чувашской Республики на 2024 год и на плановый период 2025 и 2026 годов» выделены субс</w:t>
      </w:r>
      <w:r>
        <w:rPr>
          <w:rFonts w:ascii="Arial" w:hAnsi="Arial" w:cs="Arial"/>
          <w:color w:val="000000"/>
          <w:sz w:val="23"/>
          <w:szCs w:val="23"/>
        </w:rPr>
        <w:t>и</w:t>
      </w:r>
      <w:r>
        <w:rPr>
          <w:rFonts w:ascii="Arial" w:hAnsi="Arial" w:cs="Arial"/>
          <w:color w:val="000000"/>
          <w:sz w:val="23"/>
          <w:szCs w:val="23"/>
        </w:rPr>
        <w:t>дии на реализацию мероприятий по обеспечению антитеррористической защищенн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сти объектов (территорий), пожарной безопасности и оснащение медицинских блоков муниципальных образовательных организаций в сумме 56,5 млн. рублей.</w:t>
      </w:r>
      <w:proofErr w:type="gramEnd"/>
    </w:p>
    <w:p w:rsidR="00E53045" w:rsidRDefault="00E53045" w:rsidP="006B3E27">
      <w:pPr>
        <w:pStyle w:val="a9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В целях недопущения образования просроченной кредиторской задолженности по бюджетным и автономным муниципальным учреждениям социально-культурой сферы (образования, культуры и спорта) на конец 2024 года из резервного фонда К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бинета Министров Чувашской Республики выделены бюджетные ассигнования в ра</w:t>
      </w:r>
      <w:r>
        <w:rPr>
          <w:rFonts w:ascii="Arial" w:hAnsi="Arial" w:cs="Arial"/>
          <w:color w:val="000000"/>
          <w:sz w:val="23"/>
          <w:szCs w:val="23"/>
        </w:rPr>
        <w:t>з</w:t>
      </w:r>
      <w:r>
        <w:rPr>
          <w:rFonts w:ascii="Arial" w:hAnsi="Arial" w:cs="Arial"/>
          <w:color w:val="000000"/>
          <w:sz w:val="23"/>
          <w:szCs w:val="23"/>
        </w:rPr>
        <w:t>мере 300,0 млн. рублей на финансовое обеспечение расходных обязательств по в</w:t>
      </w:r>
      <w:r>
        <w:rPr>
          <w:rFonts w:ascii="Arial" w:hAnsi="Arial" w:cs="Arial"/>
          <w:color w:val="000000"/>
          <w:sz w:val="23"/>
          <w:szCs w:val="23"/>
        </w:rPr>
        <w:t>ы</w:t>
      </w:r>
      <w:r>
        <w:rPr>
          <w:rFonts w:ascii="Arial" w:hAnsi="Arial" w:cs="Arial"/>
          <w:color w:val="000000"/>
          <w:sz w:val="23"/>
          <w:szCs w:val="23"/>
        </w:rPr>
        <w:t>полнению полномочий органов местного самоуправления по вопросам местного зн</w:t>
      </w:r>
      <w:r>
        <w:rPr>
          <w:rFonts w:ascii="Arial" w:hAnsi="Arial" w:cs="Arial"/>
          <w:color w:val="000000"/>
          <w:sz w:val="23"/>
          <w:szCs w:val="23"/>
        </w:rPr>
        <w:t>а</w:t>
      </w:r>
      <w:r>
        <w:rPr>
          <w:rFonts w:ascii="Arial" w:hAnsi="Arial" w:cs="Arial"/>
          <w:color w:val="000000"/>
          <w:sz w:val="23"/>
          <w:szCs w:val="23"/>
        </w:rPr>
        <w:t>чения для последующего предоставления субсидий бюджетам муниципальных окр</w:t>
      </w:r>
      <w:r>
        <w:rPr>
          <w:rFonts w:ascii="Arial" w:hAnsi="Arial" w:cs="Arial"/>
          <w:color w:val="000000"/>
          <w:sz w:val="23"/>
          <w:szCs w:val="23"/>
        </w:rPr>
        <w:t>у</w:t>
      </w:r>
      <w:r>
        <w:rPr>
          <w:rFonts w:ascii="Arial" w:hAnsi="Arial" w:cs="Arial"/>
          <w:color w:val="000000"/>
          <w:sz w:val="23"/>
          <w:szCs w:val="23"/>
        </w:rPr>
        <w:t>гов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и городских округов на реализацию вопросов местного значения в сфере образ</w:t>
      </w:r>
      <w:r>
        <w:rPr>
          <w:rFonts w:ascii="Arial" w:hAnsi="Arial" w:cs="Arial"/>
          <w:color w:val="000000"/>
          <w:sz w:val="23"/>
          <w:szCs w:val="23"/>
        </w:rPr>
        <w:t>о</w:t>
      </w:r>
      <w:r>
        <w:rPr>
          <w:rFonts w:ascii="Arial" w:hAnsi="Arial" w:cs="Arial"/>
          <w:color w:val="000000"/>
          <w:sz w:val="23"/>
          <w:szCs w:val="23"/>
        </w:rPr>
        <w:t>вания, культуры, физической культуры и спорта.</w:t>
      </w:r>
    </w:p>
    <w:p w:rsidR="00AF32D9" w:rsidRPr="00E53045" w:rsidRDefault="00AF32D9" w:rsidP="00E53045">
      <w:pPr>
        <w:rPr>
          <w:rFonts w:eastAsia="SimSun"/>
        </w:rPr>
      </w:pPr>
    </w:p>
    <w:sectPr w:rsidR="00AF32D9" w:rsidRPr="00E53045" w:rsidSect="00DC610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83" w:rsidRDefault="00FC2E83" w:rsidP="00BD43A0">
      <w:r>
        <w:separator/>
      </w:r>
    </w:p>
  </w:endnote>
  <w:endnote w:type="continuationSeparator" w:id="0">
    <w:p w:rsidR="00FC2E83" w:rsidRDefault="00FC2E83" w:rsidP="00BD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83" w:rsidRDefault="00FC2E83" w:rsidP="00BD43A0">
      <w:r>
        <w:separator/>
      </w:r>
    </w:p>
  </w:footnote>
  <w:footnote w:type="continuationSeparator" w:id="0">
    <w:p w:rsidR="00FC2E83" w:rsidRDefault="00FC2E83" w:rsidP="00BD4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110" w:rsidRDefault="00252110">
    <w:pPr>
      <w:pStyle w:val="a3"/>
      <w:jc w:val="center"/>
    </w:pPr>
    <w:r w:rsidRPr="00D75C00">
      <w:fldChar w:fldCharType="begin"/>
    </w:r>
    <w:r w:rsidRPr="00D75C00">
      <w:instrText>PAGE   \* MERGEFORMAT</w:instrText>
    </w:r>
    <w:r w:rsidRPr="00D75C00">
      <w:fldChar w:fldCharType="separate"/>
    </w:r>
    <w:r w:rsidR="00237720">
      <w:rPr>
        <w:noProof/>
      </w:rPr>
      <w:t>14</w:t>
    </w:r>
    <w:r w:rsidRPr="00D75C0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625"/>
    <w:multiLevelType w:val="multilevel"/>
    <w:tmpl w:val="8AEC1E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B6BC6"/>
    <w:multiLevelType w:val="multilevel"/>
    <w:tmpl w:val="CA628B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5415C"/>
    <w:multiLevelType w:val="multilevel"/>
    <w:tmpl w:val="367CBB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967552"/>
    <w:multiLevelType w:val="multilevel"/>
    <w:tmpl w:val="20D288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17598"/>
    <w:multiLevelType w:val="multilevel"/>
    <w:tmpl w:val="168076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70306"/>
    <w:multiLevelType w:val="multilevel"/>
    <w:tmpl w:val="4A6218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370C9A"/>
    <w:multiLevelType w:val="multilevel"/>
    <w:tmpl w:val="41B42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237D4"/>
    <w:multiLevelType w:val="multilevel"/>
    <w:tmpl w:val="E4B816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C57AB"/>
    <w:multiLevelType w:val="multilevel"/>
    <w:tmpl w:val="FE7465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3521BE"/>
    <w:multiLevelType w:val="multilevel"/>
    <w:tmpl w:val="59184378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6E0FA3"/>
    <w:multiLevelType w:val="multilevel"/>
    <w:tmpl w:val="1A9C57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4B593C"/>
    <w:multiLevelType w:val="hybridMultilevel"/>
    <w:tmpl w:val="74FC54D8"/>
    <w:lvl w:ilvl="0" w:tplc="B666147E">
      <w:start w:val="4"/>
      <w:numFmt w:val="decimal"/>
      <w:lvlText w:val="%1."/>
      <w:lvlJc w:val="left"/>
      <w:pPr>
        <w:ind w:left="1069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9B04D9"/>
    <w:multiLevelType w:val="multilevel"/>
    <w:tmpl w:val="69F8C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47DED"/>
    <w:multiLevelType w:val="multilevel"/>
    <w:tmpl w:val="7E7CE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F70B7F"/>
    <w:multiLevelType w:val="multilevel"/>
    <w:tmpl w:val="8F345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2149A0"/>
    <w:multiLevelType w:val="hybridMultilevel"/>
    <w:tmpl w:val="74E4D500"/>
    <w:lvl w:ilvl="0" w:tplc="384C18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B67651"/>
    <w:multiLevelType w:val="multilevel"/>
    <w:tmpl w:val="859662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9E03AE"/>
    <w:multiLevelType w:val="multilevel"/>
    <w:tmpl w:val="CBDA0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F807A6"/>
    <w:multiLevelType w:val="multilevel"/>
    <w:tmpl w:val="20D61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DA4D57"/>
    <w:multiLevelType w:val="hybridMultilevel"/>
    <w:tmpl w:val="70A87D7E"/>
    <w:lvl w:ilvl="0" w:tplc="CD861E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4E69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6692A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F28E5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FCCD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5E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835B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E608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A20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51116A"/>
    <w:multiLevelType w:val="multilevel"/>
    <w:tmpl w:val="9FBEED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EF04F6"/>
    <w:multiLevelType w:val="multilevel"/>
    <w:tmpl w:val="E60A9D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3B0908"/>
    <w:multiLevelType w:val="multilevel"/>
    <w:tmpl w:val="700C01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F21CA1"/>
    <w:multiLevelType w:val="multilevel"/>
    <w:tmpl w:val="F62EC8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E044BF"/>
    <w:multiLevelType w:val="multilevel"/>
    <w:tmpl w:val="44329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7"/>
  </w:num>
  <w:num w:numId="6">
    <w:abstractNumId w:val="6"/>
  </w:num>
  <w:num w:numId="7">
    <w:abstractNumId w:val="2"/>
  </w:num>
  <w:num w:numId="8">
    <w:abstractNumId w:val="14"/>
  </w:num>
  <w:num w:numId="9">
    <w:abstractNumId w:val="7"/>
  </w:num>
  <w:num w:numId="10">
    <w:abstractNumId w:val="4"/>
  </w:num>
  <w:num w:numId="11">
    <w:abstractNumId w:val="0"/>
  </w:num>
  <w:num w:numId="12">
    <w:abstractNumId w:val="1"/>
  </w:num>
  <w:num w:numId="13">
    <w:abstractNumId w:val="3"/>
  </w:num>
  <w:num w:numId="14">
    <w:abstractNumId w:val="13"/>
  </w:num>
  <w:num w:numId="15">
    <w:abstractNumId w:val="22"/>
  </w:num>
  <w:num w:numId="16">
    <w:abstractNumId w:val="10"/>
  </w:num>
  <w:num w:numId="17">
    <w:abstractNumId w:val="8"/>
  </w:num>
  <w:num w:numId="18">
    <w:abstractNumId w:val="5"/>
  </w:num>
  <w:num w:numId="19">
    <w:abstractNumId w:val="23"/>
  </w:num>
  <w:num w:numId="20">
    <w:abstractNumId w:val="18"/>
  </w:num>
  <w:num w:numId="21">
    <w:abstractNumId w:val="24"/>
  </w:num>
  <w:num w:numId="22">
    <w:abstractNumId w:val="20"/>
  </w:num>
  <w:num w:numId="23">
    <w:abstractNumId w:val="16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0D"/>
    <w:rsid w:val="000021A2"/>
    <w:rsid w:val="00002F62"/>
    <w:rsid w:val="00003031"/>
    <w:rsid w:val="00003B8F"/>
    <w:rsid w:val="00003C65"/>
    <w:rsid w:val="000067A0"/>
    <w:rsid w:val="00012128"/>
    <w:rsid w:val="000200B7"/>
    <w:rsid w:val="00022391"/>
    <w:rsid w:val="00023989"/>
    <w:rsid w:val="00030218"/>
    <w:rsid w:val="00030297"/>
    <w:rsid w:val="00032C4A"/>
    <w:rsid w:val="00035DE9"/>
    <w:rsid w:val="0003642F"/>
    <w:rsid w:val="00040281"/>
    <w:rsid w:val="00042B4D"/>
    <w:rsid w:val="000500DB"/>
    <w:rsid w:val="0006016A"/>
    <w:rsid w:val="00071AB6"/>
    <w:rsid w:val="00081E01"/>
    <w:rsid w:val="00082108"/>
    <w:rsid w:val="000870A3"/>
    <w:rsid w:val="0009024D"/>
    <w:rsid w:val="00090CBA"/>
    <w:rsid w:val="00091149"/>
    <w:rsid w:val="00091604"/>
    <w:rsid w:val="00091D86"/>
    <w:rsid w:val="00092055"/>
    <w:rsid w:val="0009264D"/>
    <w:rsid w:val="00092C98"/>
    <w:rsid w:val="00092D9E"/>
    <w:rsid w:val="0009522F"/>
    <w:rsid w:val="000A1137"/>
    <w:rsid w:val="000A1EEA"/>
    <w:rsid w:val="000A54C9"/>
    <w:rsid w:val="000A6E9F"/>
    <w:rsid w:val="000A72C8"/>
    <w:rsid w:val="000B15CD"/>
    <w:rsid w:val="000B7D13"/>
    <w:rsid w:val="000B7F57"/>
    <w:rsid w:val="000C1F3A"/>
    <w:rsid w:val="000C2550"/>
    <w:rsid w:val="000C55A3"/>
    <w:rsid w:val="000D0041"/>
    <w:rsid w:val="000D37F4"/>
    <w:rsid w:val="000D57D8"/>
    <w:rsid w:val="000D5EED"/>
    <w:rsid w:val="000D70B6"/>
    <w:rsid w:val="000E7881"/>
    <w:rsid w:val="000F2736"/>
    <w:rsid w:val="000F5218"/>
    <w:rsid w:val="000F55BD"/>
    <w:rsid w:val="000F6DCB"/>
    <w:rsid w:val="000F7857"/>
    <w:rsid w:val="00101161"/>
    <w:rsid w:val="00107A44"/>
    <w:rsid w:val="001131F8"/>
    <w:rsid w:val="0012109D"/>
    <w:rsid w:val="00121AE8"/>
    <w:rsid w:val="00130390"/>
    <w:rsid w:val="00130FE5"/>
    <w:rsid w:val="00134876"/>
    <w:rsid w:val="00136838"/>
    <w:rsid w:val="0013735C"/>
    <w:rsid w:val="0014619B"/>
    <w:rsid w:val="00162084"/>
    <w:rsid w:val="0016345E"/>
    <w:rsid w:val="00164483"/>
    <w:rsid w:val="00165279"/>
    <w:rsid w:val="00173712"/>
    <w:rsid w:val="0017549F"/>
    <w:rsid w:val="00183DB3"/>
    <w:rsid w:val="0018481A"/>
    <w:rsid w:val="0019127F"/>
    <w:rsid w:val="00191860"/>
    <w:rsid w:val="00194BBE"/>
    <w:rsid w:val="00196169"/>
    <w:rsid w:val="0019674D"/>
    <w:rsid w:val="001A1C1F"/>
    <w:rsid w:val="001A3824"/>
    <w:rsid w:val="001A66D7"/>
    <w:rsid w:val="001B067C"/>
    <w:rsid w:val="001C299B"/>
    <w:rsid w:val="001D7567"/>
    <w:rsid w:val="001D7713"/>
    <w:rsid w:val="001E01D7"/>
    <w:rsid w:val="001E0AE8"/>
    <w:rsid w:val="001F24B9"/>
    <w:rsid w:val="001F3EBF"/>
    <w:rsid w:val="001F7A32"/>
    <w:rsid w:val="00200160"/>
    <w:rsid w:val="00200E0F"/>
    <w:rsid w:val="00201A14"/>
    <w:rsid w:val="00201AAC"/>
    <w:rsid w:val="00203F1A"/>
    <w:rsid w:val="00206D65"/>
    <w:rsid w:val="002114E1"/>
    <w:rsid w:val="00212F4A"/>
    <w:rsid w:val="00222614"/>
    <w:rsid w:val="0022426C"/>
    <w:rsid w:val="00227A71"/>
    <w:rsid w:val="00234273"/>
    <w:rsid w:val="00235B49"/>
    <w:rsid w:val="00235DBA"/>
    <w:rsid w:val="00235F94"/>
    <w:rsid w:val="00236AFD"/>
    <w:rsid w:val="00237720"/>
    <w:rsid w:val="00246168"/>
    <w:rsid w:val="00252110"/>
    <w:rsid w:val="00252A6E"/>
    <w:rsid w:val="0025766B"/>
    <w:rsid w:val="002603EB"/>
    <w:rsid w:val="00261258"/>
    <w:rsid w:val="00261EB0"/>
    <w:rsid w:val="0026240F"/>
    <w:rsid w:val="002712FD"/>
    <w:rsid w:val="0027182C"/>
    <w:rsid w:val="00272044"/>
    <w:rsid w:val="00275903"/>
    <w:rsid w:val="0027732C"/>
    <w:rsid w:val="00281BF5"/>
    <w:rsid w:val="00290B4C"/>
    <w:rsid w:val="00294246"/>
    <w:rsid w:val="002968FB"/>
    <w:rsid w:val="002A1EA7"/>
    <w:rsid w:val="002A479E"/>
    <w:rsid w:val="002A4BEC"/>
    <w:rsid w:val="002A60C7"/>
    <w:rsid w:val="002B3B36"/>
    <w:rsid w:val="002B7816"/>
    <w:rsid w:val="002C0709"/>
    <w:rsid w:val="002C16A1"/>
    <w:rsid w:val="002C43C7"/>
    <w:rsid w:val="002C5999"/>
    <w:rsid w:val="002D3486"/>
    <w:rsid w:val="002D41D9"/>
    <w:rsid w:val="002D6E94"/>
    <w:rsid w:val="002E06AE"/>
    <w:rsid w:val="002E22E1"/>
    <w:rsid w:val="002E3A8F"/>
    <w:rsid w:val="002E6AD3"/>
    <w:rsid w:val="002F2D30"/>
    <w:rsid w:val="00302A62"/>
    <w:rsid w:val="00302E0D"/>
    <w:rsid w:val="00304044"/>
    <w:rsid w:val="00304DF1"/>
    <w:rsid w:val="00305866"/>
    <w:rsid w:val="00307CFA"/>
    <w:rsid w:val="0031158B"/>
    <w:rsid w:val="00317202"/>
    <w:rsid w:val="00320420"/>
    <w:rsid w:val="00320A19"/>
    <w:rsid w:val="00330CC6"/>
    <w:rsid w:val="0033291A"/>
    <w:rsid w:val="003457A2"/>
    <w:rsid w:val="00345A33"/>
    <w:rsid w:val="00345FA6"/>
    <w:rsid w:val="0035062D"/>
    <w:rsid w:val="00350C8B"/>
    <w:rsid w:val="0035107D"/>
    <w:rsid w:val="003559FD"/>
    <w:rsid w:val="00364734"/>
    <w:rsid w:val="00370EF3"/>
    <w:rsid w:val="00374F82"/>
    <w:rsid w:val="00376CD4"/>
    <w:rsid w:val="003811B5"/>
    <w:rsid w:val="003826E2"/>
    <w:rsid w:val="003874BD"/>
    <w:rsid w:val="003908F6"/>
    <w:rsid w:val="00393C02"/>
    <w:rsid w:val="00395A3D"/>
    <w:rsid w:val="0039621C"/>
    <w:rsid w:val="003A3C52"/>
    <w:rsid w:val="003A489F"/>
    <w:rsid w:val="003A604E"/>
    <w:rsid w:val="003C23E9"/>
    <w:rsid w:val="003C43AB"/>
    <w:rsid w:val="003C5A38"/>
    <w:rsid w:val="003C5F29"/>
    <w:rsid w:val="003C717A"/>
    <w:rsid w:val="003D7336"/>
    <w:rsid w:val="003D74F8"/>
    <w:rsid w:val="003E1238"/>
    <w:rsid w:val="003F3F5B"/>
    <w:rsid w:val="00400746"/>
    <w:rsid w:val="0040289B"/>
    <w:rsid w:val="004055F2"/>
    <w:rsid w:val="00405BD5"/>
    <w:rsid w:val="00411D6E"/>
    <w:rsid w:val="004133CF"/>
    <w:rsid w:val="00413B07"/>
    <w:rsid w:val="00415669"/>
    <w:rsid w:val="0042004C"/>
    <w:rsid w:val="00435469"/>
    <w:rsid w:val="00436D7B"/>
    <w:rsid w:val="0044070D"/>
    <w:rsid w:val="00440DC2"/>
    <w:rsid w:val="004416A2"/>
    <w:rsid w:val="004536C6"/>
    <w:rsid w:val="00456BB8"/>
    <w:rsid w:val="004570FE"/>
    <w:rsid w:val="00460840"/>
    <w:rsid w:val="00461C6F"/>
    <w:rsid w:val="004646CF"/>
    <w:rsid w:val="00470EB9"/>
    <w:rsid w:val="00471657"/>
    <w:rsid w:val="0047194E"/>
    <w:rsid w:val="00487ED5"/>
    <w:rsid w:val="004A0672"/>
    <w:rsid w:val="004A0D32"/>
    <w:rsid w:val="004A1874"/>
    <w:rsid w:val="004A194B"/>
    <w:rsid w:val="004A52AE"/>
    <w:rsid w:val="004B1283"/>
    <w:rsid w:val="004B22A3"/>
    <w:rsid w:val="004B3C1B"/>
    <w:rsid w:val="004B6ED8"/>
    <w:rsid w:val="004C0569"/>
    <w:rsid w:val="004C1650"/>
    <w:rsid w:val="004C4A7C"/>
    <w:rsid w:val="004C532C"/>
    <w:rsid w:val="004C54CA"/>
    <w:rsid w:val="004C59E2"/>
    <w:rsid w:val="004D047C"/>
    <w:rsid w:val="004D06AC"/>
    <w:rsid w:val="004D2EA5"/>
    <w:rsid w:val="004D63A0"/>
    <w:rsid w:val="004E5CDE"/>
    <w:rsid w:val="004F6B68"/>
    <w:rsid w:val="004F7A64"/>
    <w:rsid w:val="00500178"/>
    <w:rsid w:val="00502DC8"/>
    <w:rsid w:val="0050404B"/>
    <w:rsid w:val="00505567"/>
    <w:rsid w:val="00507D2C"/>
    <w:rsid w:val="00510E59"/>
    <w:rsid w:val="00514F11"/>
    <w:rsid w:val="00520711"/>
    <w:rsid w:val="00521C73"/>
    <w:rsid w:val="00523C06"/>
    <w:rsid w:val="00527D35"/>
    <w:rsid w:val="00532CBB"/>
    <w:rsid w:val="00534360"/>
    <w:rsid w:val="00550F5A"/>
    <w:rsid w:val="005570A1"/>
    <w:rsid w:val="00565E82"/>
    <w:rsid w:val="00566EE7"/>
    <w:rsid w:val="005738F6"/>
    <w:rsid w:val="005765A5"/>
    <w:rsid w:val="00582A29"/>
    <w:rsid w:val="00591E87"/>
    <w:rsid w:val="005A250E"/>
    <w:rsid w:val="005A3D1E"/>
    <w:rsid w:val="005A4890"/>
    <w:rsid w:val="005A6738"/>
    <w:rsid w:val="005B073D"/>
    <w:rsid w:val="005B2699"/>
    <w:rsid w:val="005B3509"/>
    <w:rsid w:val="005C009E"/>
    <w:rsid w:val="005C02E2"/>
    <w:rsid w:val="005C0A47"/>
    <w:rsid w:val="005C18B0"/>
    <w:rsid w:val="005C53E7"/>
    <w:rsid w:val="005C7817"/>
    <w:rsid w:val="005D1259"/>
    <w:rsid w:val="005D2890"/>
    <w:rsid w:val="005D57AA"/>
    <w:rsid w:val="005D6B04"/>
    <w:rsid w:val="005E0C73"/>
    <w:rsid w:val="005E2543"/>
    <w:rsid w:val="005E5540"/>
    <w:rsid w:val="005E7A14"/>
    <w:rsid w:val="005F0B37"/>
    <w:rsid w:val="005F362A"/>
    <w:rsid w:val="005F59D7"/>
    <w:rsid w:val="005F6E2E"/>
    <w:rsid w:val="006024BB"/>
    <w:rsid w:val="00603304"/>
    <w:rsid w:val="00611796"/>
    <w:rsid w:val="0061224C"/>
    <w:rsid w:val="00613F32"/>
    <w:rsid w:val="0062500B"/>
    <w:rsid w:val="00633BAD"/>
    <w:rsid w:val="00633BD0"/>
    <w:rsid w:val="00636C01"/>
    <w:rsid w:val="00636CE0"/>
    <w:rsid w:val="00636F97"/>
    <w:rsid w:val="00647B20"/>
    <w:rsid w:val="006629AE"/>
    <w:rsid w:val="006629D2"/>
    <w:rsid w:val="00665512"/>
    <w:rsid w:val="00665A37"/>
    <w:rsid w:val="00674F61"/>
    <w:rsid w:val="006813E3"/>
    <w:rsid w:val="0068603D"/>
    <w:rsid w:val="00692379"/>
    <w:rsid w:val="00693B51"/>
    <w:rsid w:val="00696EC2"/>
    <w:rsid w:val="0069749E"/>
    <w:rsid w:val="00697538"/>
    <w:rsid w:val="006A3DC4"/>
    <w:rsid w:val="006A5267"/>
    <w:rsid w:val="006A5BDB"/>
    <w:rsid w:val="006A75AE"/>
    <w:rsid w:val="006B3C08"/>
    <w:rsid w:val="006B3E27"/>
    <w:rsid w:val="006B74CC"/>
    <w:rsid w:val="006C146D"/>
    <w:rsid w:val="006C34B4"/>
    <w:rsid w:val="006C7B00"/>
    <w:rsid w:val="006D1203"/>
    <w:rsid w:val="006D5BB6"/>
    <w:rsid w:val="006E29A5"/>
    <w:rsid w:val="006E3AA3"/>
    <w:rsid w:val="006E5582"/>
    <w:rsid w:val="006F4C2E"/>
    <w:rsid w:val="006F620B"/>
    <w:rsid w:val="00700177"/>
    <w:rsid w:val="00701584"/>
    <w:rsid w:val="00703740"/>
    <w:rsid w:val="0070610B"/>
    <w:rsid w:val="00710B50"/>
    <w:rsid w:val="00713191"/>
    <w:rsid w:val="00722B04"/>
    <w:rsid w:val="00724B88"/>
    <w:rsid w:val="007261C3"/>
    <w:rsid w:val="00727106"/>
    <w:rsid w:val="00734B7C"/>
    <w:rsid w:val="00741628"/>
    <w:rsid w:val="00746AA9"/>
    <w:rsid w:val="00746DA3"/>
    <w:rsid w:val="00747E5F"/>
    <w:rsid w:val="007527CB"/>
    <w:rsid w:val="007568FB"/>
    <w:rsid w:val="00756C9C"/>
    <w:rsid w:val="00765622"/>
    <w:rsid w:val="00767FEA"/>
    <w:rsid w:val="00771AC9"/>
    <w:rsid w:val="00777481"/>
    <w:rsid w:val="00781D19"/>
    <w:rsid w:val="0078341D"/>
    <w:rsid w:val="007843F3"/>
    <w:rsid w:val="00787DE9"/>
    <w:rsid w:val="00794FDB"/>
    <w:rsid w:val="00795C1A"/>
    <w:rsid w:val="00796715"/>
    <w:rsid w:val="00796B22"/>
    <w:rsid w:val="00796F21"/>
    <w:rsid w:val="007A3254"/>
    <w:rsid w:val="007A586F"/>
    <w:rsid w:val="007A7948"/>
    <w:rsid w:val="007B1EBB"/>
    <w:rsid w:val="007C2F91"/>
    <w:rsid w:val="007C534F"/>
    <w:rsid w:val="007C5CF6"/>
    <w:rsid w:val="007D274F"/>
    <w:rsid w:val="007D2B2F"/>
    <w:rsid w:val="007D2C0A"/>
    <w:rsid w:val="007D4008"/>
    <w:rsid w:val="007D4050"/>
    <w:rsid w:val="007E582F"/>
    <w:rsid w:val="007E7854"/>
    <w:rsid w:val="007F04BE"/>
    <w:rsid w:val="007F15FF"/>
    <w:rsid w:val="007F4A2C"/>
    <w:rsid w:val="007F4B95"/>
    <w:rsid w:val="007F71F1"/>
    <w:rsid w:val="007F7585"/>
    <w:rsid w:val="00803785"/>
    <w:rsid w:val="00804450"/>
    <w:rsid w:val="008049F7"/>
    <w:rsid w:val="00810B32"/>
    <w:rsid w:val="00813B6A"/>
    <w:rsid w:val="00817C96"/>
    <w:rsid w:val="008213DA"/>
    <w:rsid w:val="008238BC"/>
    <w:rsid w:val="00824BEB"/>
    <w:rsid w:val="00831E0C"/>
    <w:rsid w:val="008325C3"/>
    <w:rsid w:val="00840294"/>
    <w:rsid w:val="00842B2A"/>
    <w:rsid w:val="0084549B"/>
    <w:rsid w:val="00845777"/>
    <w:rsid w:val="00847609"/>
    <w:rsid w:val="008533F0"/>
    <w:rsid w:val="008547E3"/>
    <w:rsid w:val="00855E73"/>
    <w:rsid w:val="0085705F"/>
    <w:rsid w:val="00857088"/>
    <w:rsid w:val="00860529"/>
    <w:rsid w:val="0086061C"/>
    <w:rsid w:val="008615A0"/>
    <w:rsid w:val="00861B6D"/>
    <w:rsid w:val="00872CEC"/>
    <w:rsid w:val="00875F6C"/>
    <w:rsid w:val="008814DC"/>
    <w:rsid w:val="00881880"/>
    <w:rsid w:val="00883DA1"/>
    <w:rsid w:val="00886606"/>
    <w:rsid w:val="00894761"/>
    <w:rsid w:val="008A345C"/>
    <w:rsid w:val="008A42F5"/>
    <w:rsid w:val="008A63DD"/>
    <w:rsid w:val="008B2767"/>
    <w:rsid w:val="008B6B5C"/>
    <w:rsid w:val="008C1068"/>
    <w:rsid w:val="008C314E"/>
    <w:rsid w:val="008C392E"/>
    <w:rsid w:val="008D0CA4"/>
    <w:rsid w:val="008D5AF2"/>
    <w:rsid w:val="008E0ABF"/>
    <w:rsid w:val="008E2111"/>
    <w:rsid w:val="008F19DE"/>
    <w:rsid w:val="008F33C2"/>
    <w:rsid w:val="008F59EF"/>
    <w:rsid w:val="008F71DB"/>
    <w:rsid w:val="008F7437"/>
    <w:rsid w:val="008F7D2A"/>
    <w:rsid w:val="00902F99"/>
    <w:rsid w:val="009034E0"/>
    <w:rsid w:val="00903B3F"/>
    <w:rsid w:val="009110FD"/>
    <w:rsid w:val="00915F4B"/>
    <w:rsid w:val="00920816"/>
    <w:rsid w:val="0092246E"/>
    <w:rsid w:val="009269A6"/>
    <w:rsid w:val="00926BE7"/>
    <w:rsid w:val="00927454"/>
    <w:rsid w:val="009325F2"/>
    <w:rsid w:val="00933FE4"/>
    <w:rsid w:val="0093595E"/>
    <w:rsid w:val="00936EFE"/>
    <w:rsid w:val="00940627"/>
    <w:rsid w:val="00940E92"/>
    <w:rsid w:val="009417A0"/>
    <w:rsid w:val="009567FE"/>
    <w:rsid w:val="00967502"/>
    <w:rsid w:val="00972826"/>
    <w:rsid w:val="00973653"/>
    <w:rsid w:val="00976DE7"/>
    <w:rsid w:val="00980899"/>
    <w:rsid w:val="00992B75"/>
    <w:rsid w:val="00993AB4"/>
    <w:rsid w:val="00993C21"/>
    <w:rsid w:val="009A07AF"/>
    <w:rsid w:val="009A310A"/>
    <w:rsid w:val="009A392A"/>
    <w:rsid w:val="009A3ECE"/>
    <w:rsid w:val="009B0A59"/>
    <w:rsid w:val="009B0B97"/>
    <w:rsid w:val="009C3669"/>
    <w:rsid w:val="009C76D3"/>
    <w:rsid w:val="009D7245"/>
    <w:rsid w:val="009E5A9B"/>
    <w:rsid w:val="009E6A54"/>
    <w:rsid w:val="009E7C76"/>
    <w:rsid w:val="009F0B63"/>
    <w:rsid w:val="009F4EDE"/>
    <w:rsid w:val="009F53F6"/>
    <w:rsid w:val="009F7476"/>
    <w:rsid w:val="009F7EF0"/>
    <w:rsid w:val="00A00E5F"/>
    <w:rsid w:val="00A1105F"/>
    <w:rsid w:val="00A22432"/>
    <w:rsid w:val="00A240E4"/>
    <w:rsid w:val="00A24566"/>
    <w:rsid w:val="00A24DBF"/>
    <w:rsid w:val="00A27AAE"/>
    <w:rsid w:val="00A37870"/>
    <w:rsid w:val="00A379CF"/>
    <w:rsid w:val="00A4116F"/>
    <w:rsid w:val="00A43271"/>
    <w:rsid w:val="00A45CEB"/>
    <w:rsid w:val="00A52F58"/>
    <w:rsid w:val="00A53231"/>
    <w:rsid w:val="00A5525C"/>
    <w:rsid w:val="00A56977"/>
    <w:rsid w:val="00A60C38"/>
    <w:rsid w:val="00A6212E"/>
    <w:rsid w:val="00A71711"/>
    <w:rsid w:val="00A72D89"/>
    <w:rsid w:val="00A73E8E"/>
    <w:rsid w:val="00A74B24"/>
    <w:rsid w:val="00A8223E"/>
    <w:rsid w:val="00A9061F"/>
    <w:rsid w:val="00A95518"/>
    <w:rsid w:val="00AA0654"/>
    <w:rsid w:val="00AA4544"/>
    <w:rsid w:val="00AA6606"/>
    <w:rsid w:val="00AC103B"/>
    <w:rsid w:val="00AC1E9F"/>
    <w:rsid w:val="00AC4DD9"/>
    <w:rsid w:val="00AC5101"/>
    <w:rsid w:val="00AD1FB2"/>
    <w:rsid w:val="00AD3F47"/>
    <w:rsid w:val="00AD775F"/>
    <w:rsid w:val="00AE18C0"/>
    <w:rsid w:val="00AE5207"/>
    <w:rsid w:val="00AF32D9"/>
    <w:rsid w:val="00AF77FC"/>
    <w:rsid w:val="00B04AD0"/>
    <w:rsid w:val="00B05FBF"/>
    <w:rsid w:val="00B11BCF"/>
    <w:rsid w:val="00B11C73"/>
    <w:rsid w:val="00B12815"/>
    <w:rsid w:val="00B1763F"/>
    <w:rsid w:val="00B217D3"/>
    <w:rsid w:val="00B224DB"/>
    <w:rsid w:val="00B22F89"/>
    <w:rsid w:val="00B22FB5"/>
    <w:rsid w:val="00B26E3C"/>
    <w:rsid w:val="00B314A0"/>
    <w:rsid w:val="00B35336"/>
    <w:rsid w:val="00B40B4C"/>
    <w:rsid w:val="00B411D7"/>
    <w:rsid w:val="00B4340A"/>
    <w:rsid w:val="00B43631"/>
    <w:rsid w:val="00B43F3B"/>
    <w:rsid w:val="00B51AE8"/>
    <w:rsid w:val="00B53E6B"/>
    <w:rsid w:val="00B57B35"/>
    <w:rsid w:val="00B57C04"/>
    <w:rsid w:val="00B66382"/>
    <w:rsid w:val="00B81CF0"/>
    <w:rsid w:val="00B82241"/>
    <w:rsid w:val="00B8237F"/>
    <w:rsid w:val="00B8397B"/>
    <w:rsid w:val="00B83F93"/>
    <w:rsid w:val="00B84565"/>
    <w:rsid w:val="00B90E95"/>
    <w:rsid w:val="00B92ED0"/>
    <w:rsid w:val="00B939CD"/>
    <w:rsid w:val="00BA308D"/>
    <w:rsid w:val="00BA3A72"/>
    <w:rsid w:val="00BB2DED"/>
    <w:rsid w:val="00BB3831"/>
    <w:rsid w:val="00BB681C"/>
    <w:rsid w:val="00BB688D"/>
    <w:rsid w:val="00BC17B9"/>
    <w:rsid w:val="00BC2532"/>
    <w:rsid w:val="00BC44CD"/>
    <w:rsid w:val="00BC6643"/>
    <w:rsid w:val="00BC69B7"/>
    <w:rsid w:val="00BD09D4"/>
    <w:rsid w:val="00BD1FC5"/>
    <w:rsid w:val="00BD43A0"/>
    <w:rsid w:val="00BE037E"/>
    <w:rsid w:val="00BE25D7"/>
    <w:rsid w:val="00BE2B20"/>
    <w:rsid w:val="00BE3099"/>
    <w:rsid w:val="00BE6BAB"/>
    <w:rsid w:val="00BF026D"/>
    <w:rsid w:val="00BF111A"/>
    <w:rsid w:val="00BF5130"/>
    <w:rsid w:val="00BF6CEC"/>
    <w:rsid w:val="00BF6F89"/>
    <w:rsid w:val="00C00875"/>
    <w:rsid w:val="00C01C51"/>
    <w:rsid w:val="00C0539B"/>
    <w:rsid w:val="00C07134"/>
    <w:rsid w:val="00C25FA6"/>
    <w:rsid w:val="00C278E1"/>
    <w:rsid w:val="00C27BAA"/>
    <w:rsid w:val="00C31258"/>
    <w:rsid w:val="00C3146E"/>
    <w:rsid w:val="00C33CBE"/>
    <w:rsid w:val="00C354CD"/>
    <w:rsid w:val="00C454BC"/>
    <w:rsid w:val="00C543BC"/>
    <w:rsid w:val="00C54BCB"/>
    <w:rsid w:val="00C60750"/>
    <w:rsid w:val="00C60AD4"/>
    <w:rsid w:val="00C6395B"/>
    <w:rsid w:val="00C64AE0"/>
    <w:rsid w:val="00C6591E"/>
    <w:rsid w:val="00C67481"/>
    <w:rsid w:val="00C73006"/>
    <w:rsid w:val="00C80CFB"/>
    <w:rsid w:val="00C81276"/>
    <w:rsid w:val="00C81CF3"/>
    <w:rsid w:val="00C82FBE"/>
    <w:rsid w:val="00C948C3"/>
    <w:rsid w:val="00C94B1B"/>
    <w:rsid w:val="00CA062D"/>
    <w:rsid w:val="00CA2D43"/>
    <w:rsid w:val="00CB307D"/>
    <w:rsid w:val="00CD07E2"/>
    <w:rsid w:val="00CD25E7"/>
    <w:rsid w:val="00CE0921"/>
    <w:rsid w:val="00CE2F82"/>
    <w:rsid w:val="00CE43E8"/>
    <w:rsid w:val="00CF37F9"/>
    <w:rsid w:val="00CF3C6A"/>
    <w:rsid w:val="00CF44E9"/>
    <w:rsid w:val="00D0022D"/>
    <w:rsid w:val="00D0214E"/>
    <w:rsid w:val="00D03034"/>
    <w:rsid w:val="00D100F0"/>
    <w:rsid w:val="00D1575D"/>
    <w:rsid w:val="00D21E6F"/>
    <w:rsid w:val="00D21F97"/>
    <w:rsid w:val="00D22845"/>
    <w:rsid w:val="00D23386"/>
    <w:rsid w:val="00D27F00"/>
    <w:rsid w:val="00D32C69"/>
    <w:rsid w:val="00D446D1"/>
    <w:rsid w:val="00D54264"/>
    <w:rsid w:val="00D549C9"/>
    <w:rsid w:val="00D56995"/>
    <w:rsid w:val="00D61F6E"/>
    <w:rsid w:val="00D6536D"/>
    <w:rsid w:val="00D75F0E"/>
    <w:rsid w:val="00D763E9"/>
    <w:rsid w:val="00D77ABA"/>
    <w:rsid w:val="00D77F70"/>
    <w:rsid w:val="00D80474"/>
    <w:rsid w:val="00D86E18"/>
    <w:rsid w:val="00D922EB"/>
    <w:rsid w:val="00D9490D"/>
    <w:rsid w:val="00DA755D"/>
    <w:rsid w:val="00DB1AE4"/>
    <w:rsid w:val="00DB1BB4"/>
    <w:rsid w:val="00DB45E1"/>
    <w:rsid w:val="00DB4DE6"/>
    <w:rsid w:val="00DB66CE"/>
    <w:rsid w:val="00DB6C89"/>
    <w:rsid w:val="00DB74F3"/>
    <w:rsid w:val="00DC13ED"/>
    <w:rsid w:val="00DC3EF7"/>
    <w:rsid w:val="00DC3F54"/>
    <w:rsid w:val="00DC6107"/>
    <w:rsid w:val="00DC6C40"/>
    <w:rsid w:val="00DC7C9E"/>
    <w:rsid w:val="00DD0E19"/>
    <w:rsid w:val="00DE126A"/>
    <w:rsid w:val="00DE4F2D"/>
    <w:rsid w:val="00DE763B"/>
    <w:rsid w:val="00DF27A2"/>
    <w:rsid w:val="00DF6487"/>
    <w:rsid w:val="00DF65F2"/>
    <w:rsid w:val="00DF6681"/>
    <w:rsid w:val="00E06280"/>
    <w:rsid w:val="00E11224"/>
    <w:rsid w:val="00E11598"/>
    <w:rsid w:val="00E125FF"/>
    <w:rsid w:val="00E12B5D"/>
    <w:rsid w:val="00E12E20"/>
    <w:rsid w:val="00E1522F"/>
    <w:rsid w:val="00E167FC"/>
    <w:rsid w:val="00E20DB1"/>
    <w:rsid w:val="00E225EA"/>
    <w:rsid w:val="00E241AE"/>
    <w:rsid w:val="00E27425"/>
    <w:rsid w:val="00E309CA"/>
    <w:rsid w:val="00E40DFD"/>
    <w:rsid w:val="00E41355"/>
    <w:rsid w:val="00E416F8"/>
    <w:rsid w:val="00E45E4D"/>
    <w:rsid w:val="00E5288E"/>
    <w:rsid w:val="00E52989"/>
    <w:rsid w:val="00E53045"/>
    <w:rsid w:val="00E535CE"/>
    <w:rsid w:val="00E575FB"/>
    <w:rsid w:val="00E64914"/>
    <w:rsid w:val="00E64C31"/>
    <w:rsid w:val="00E650E5"/>
    <w:rsid w:val="00E66111"/>
    <w:rsid w:val="00E73B4A"/>
    <w:rsid w:val="00E82043"/>
    <w:rsid w:val="00E87F8A"/>
    <w:rsid w:val="00E94A1B"/>
    <w:rsid w:val="00E96E28"/>
    <w:rsid w:val="00E9797C"/>
    <w:rsid w:val="00EA0BBC"/>
    <w:rsid w:val="00EA6838"/>
    <w:rsid w:val="00EC1C29"/>
    <w:rsid w:val="00EC64A5"/>
    <w:rsid w:val="00EE1ABB"/>
    <w:rsid w:val="00EE3368"/>
    <w:rsid w:val="00EE4035"/>
    <w:rsid w:val="00EE6986"/>
    <w:rsid w:val="00EE74E6"/>
    <w:rsid w:val="00EF2EB2"/>
    <w:rsid w:val="00EF386F"/>
    <w:rsid w:val="00EF6CA2"/>
    <w:rsid w:val="00F039CC"/>
    <w:rsid w:val="00F06334"/>
    <w:rsid w:val="00F06F1C"/>
    <w:rsid w:val="00F118F1"/>
    <w:rsid w:val="00F12412"/>
    <w:rsid w:val="00F12F65"/>
    <w:rsid w:val="00F14DF9"/>
    <w:rsid w:val="00F173DB"/>
    <w:rsid w:val="00F17932"/>
    <w:rsid w:val="00F22776"/>
    <w:rsid w:val="00F232F8"/>
    <w:rsid w:val="00F31150"/>
    <w:rsid w:val="00F314C7"/>
    <w:rsid w:val="00F34DBD"/>
    <w:rsid w:val="00F35277"/>
    <w:rsid w:val="00F35B8D"/>
    <w:rsid w:val="00F37588"/>
    <w:rsid w:val="00F41A7C"/>
    <w:rsid w:val="00F4355E"/>
    <w:rsid w:val="00F47EF0"/>
    <w:rsid w:val="00F60DF6"/>
    <w:rsid w:val="00F61C86"/>
    <w:rsid w:val="00F635D9"/>
    <w:rsid w:val="00F64243"/>
    <w:rsid w:val="00F64782"/>
    <w:rsid w:val="00F64EAF"/>
    <w:rsid w:val="00F65982"/>
    <w:rsid w:val="00F67334"/>
    <w:rsid w:val="00F74A54"/>
    <w:rsid w:val="00F74F8D"/>
    <w:rsid w:val="00F86BF7"/>
    <w:rsid w:val="00F94BED"/>
    <w:rsid w:val="00F95663"/>
    <w:rsid w:val="00FA0998"/>
    <w:rsid w:val="00FA0E86"/>
    <w:rsid w:val="00FA198A"/>
    <w:rsid w:val="00FA6A2B"/>
    <w:rsid w:val="00FA6EB2"/>
    <w:rsid w:val="00FB303E"/>
    <w:rsid w:val="00FB4D17"/>
    <w:rsid w:val="00FB7DE2"/>
    <w:rsid w:val="00FC2E83"/>
    <w:rsid w:val="00FC39A8"/>
    <w:rsid w:val="00FC458D"/>
    <w:rsid w:val="00FC5A0F"/>
    <w:rsid w:val="00FC600A"/>
    <w:rsid w:val="00FC6FF6"/>
    <w:rsid w:val="00FD0EB1"/>
    <w:rsid w:val="00FD3A98"/>
    <w:rsid w:val="00FD4EF0"/>
    <w:rsid w:val="00FD4F99"/>
    <w:rsid w:val="00FD5F2E"/>
    <w:rsid w:val="00FE03FE"/>
    <w:rsid w:val="00FE4F18"/>
    <w:rsid w:val="00FE6CE2"/>
    <w:rsid w:val="00FF55E5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2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D4050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sz w:val="24"/>
      <w:szCs w:val="24"/>
    </w:rPr>
  </w:style>
  <w:style w:type="paragraph" w:customStyle="1" w:styleId="ConsPlusNonformat">
    <w:name w:val="ConsPlusNonformat"/>
    <w:uiPriority w:val="99"/>
    <w:rsid w:val="00F14D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rsid w:val="004536C6"/>
    <w:pPr>
      <w:spacing w:before="100" w:beforeAutospacing="1" w:after="100" w:afterAutospacing="1"/>
    </w:pPr>
  </w:style>
  <w:style w:type="character" w:customStyle="1" w:styleId="aa">
    <w:name w:val="Обычный (веб) Знак"/>
    <w:link w:val="a9"/>
    <w:uiPriority w:val="99"/>
    <w:rsid w:val="00453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194BBE"/>
    <w:pPr>
      <w:jc w:val="center"/>
    </w:pPr>
    <w:rPr>
      <w:rFonts w:ascii="TimesET" w:hAnsi="TimesET"/>
      <w:b/>
      <w:bCs/>
    </w:rPr>
  </w:style>
  <w:style w:type="character" w:customStyle="1" w:styleId="ac">
    <w:name w:val="Название Знак"/>
    <w:basedOn w:val="a0"/>
    <w:link w:val="ab"/>
    <w:uiPriority w:val="10"/>
    <w:rsid w:val="00194BB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194BBE"/>
    <w:pPr>
      <w:ind w:firstLine="720"/>
      <w:jc w:val="both"/>
    </w:pPr>
    <w:rPr>
      <w:rFonts w:ascii="TimesET" w:hAnsi="TimesET"/>
    </w:rPr>
  </w:style>
  <w:style w:type="character" w:customStyle="1" w:styleId="ae">
    <w:name w:val="Основной текст с отступом Знак"/>
    <w:basedOn w:val="a0"/>
    <w:link w:val="ad"/>
    <w:rsid w:val="00194BBE"/>
    <w:rPr>
      <w:rFonts w:ascii="TimesET" w:eastAsia="Times New Roman" w:hAnsi="TimesET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194BBE"/>
    <w:pPr>
      <w:widowControl w:val="0"/>
      <w:shd w:val="clear" w:color="auto" w:fill="FFFFFF"/>
      <w:autoSpaceDE w:val="0"/>
      <w:autoSpaceDN w:val="0"/>
      <w:adjustRightInd w:val="0"/>
      <w:spacing w:after="120"/>
      <w:ind w:firstLine="709"/>
      <w:jc w:val="both"/>
    </w:pPr>
    <w:rPr>
      <w:rFonts w:ascii="TimesET" w:hAnsi="TimesET"/>
      <w:color w:val="000000"/>
      <w:spacing w:val="13"/>
    </w:rPr>
  </w:style>
  <w:style w:type="character" w:customStyle="1" w:styleId="af0">
    <w:name w:val="Основной текст Знак"/>
    <w:basedOn w:val="a0"/>
    <w:link w:val="af"/>
    <w:uiPriority w:val="99"/>
    <w:rsid w:val="00194BBE"/>
    <w:rPr>
      <w:rFonts w:ascii="TimesET" w:eastAsia="Times New Roman" w:hAnsi="TimesET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character" w:styleId="af1">
    <w:name w:val="Emphasis"/>
    <w:basedOn w:val="a0"/>
    <w:uiPriority w:val="20"/>
    <w:qFormat/>
    <w:rsid w:val="00510E59"/>
    <w:rPr>
      <w:i/>
      <w:iCs/>
    </w:rPr>
  </w:style>
  <w:style w:type="character" w:styleId="af2">
    <w:name w:val="Strong"/>
    <w:basedOn w:val="a0"/>
    <w:uiPriority w:val="22"/>
    <w:qFormat/>
    <w:rsid w:val="00470EB9"/>
    <w:rPr>
      <w:b/>
      <w:bCs/>
    </w:rPr>
  </w:style>
  <w:style w:type="character" w:customStyle="1" w:styleId="hcc">
    <w:name w:val="hcc"/>
    <w:basedOn w:val="a0"/>
    <w:rsid w:val="00B92ED0"/>
  </w:style>
  <w:style w:type="paragraph" w:styleId="2">
    <w:name w:val="Body Text Indent 2"/>
    <w:basedOn w:val="a"/>
    <w:link w:val="20"/>
    <w:uiPriority w:val="99"/>
    <w:semiHidden/>
    <w:unhideWhenUsed/>
    <w:rsid w:val="00227A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0FE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30F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30F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261EB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AF32D9"/>
    <w:rPr>
      <w:rFonts w:ascii="Arial" w:eastAsia="Arial" w:hAnsi="Arial" w:cs="Arial"/>
      <w:sz w:val="16"/>
      <w:szCs w:val="16"/>
    </w:rPr>
  </w:style>
  <w:style w:type="paragraph" w:customStyle="1" w:styleId="1">
    <w:name w:val="Основной текст1"/>
    <w:basedOn w:val="a"/>
    <w:link w:val="af5"/>
    <w:rsid w:val="00AF32D9"/>
    <w:pPr>
      <w:widowControl w:val="0"/>
      <w:ind w:firstLine="400"/>
    </w:pPr>
    <w:rPr>
      <w:rFonts w:ascii="Arial" w:eastAsia="Arial" w:hAnsi="Arial" w:cs="Arial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2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D4050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sz w:val="24"/>
      <w:szCs w:val="24"/>
    </w:rPr>
  </w:style>
  <w:style w:type="paragraph" w:customStyle="1" w:styleId="ConsPlusNonformat">
    <w:name w:val="ConsPlusNonformat"/>
    <w:uiPriority w:val="99"/>
    <w:rsid w:val="00F14D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rsid w:val="004536C6"/>
    <w:pPr>
      <w:spacing w:before="100" w:beforeAutospacing="1" w:after="100" w:afterAutospacing="1"/>
    </w:pPr>
  </w:style>
  <w:style w:type="character" w:customStyle="1" w:styleId="aa">
    <w:name w:val="Обычный (веб) Знак"/>
    <w:link w:val="a9"/>
    <w:uiPriority w:val="99"/>
    <w:rsid w:val="00453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194BBE"/>
    <w:pPr>
      <w:jc w:val="center"/>
    </w:pPr>
    <w:rPr>
      <w:rFonts w:ascii="TimesET" w:hAnsi="TimesET"/>
      <w:b/>
      <w:bCs/>
    </w:rPr>
  </w:style>
  <w:style w:type="character" w:customStyle="1" w:styleId="ac">
    <w:name w:val="Название Знак"/>
    <w:basedOn w:val="a0"/>
    <w:link w:val="ab"/>
    <w:uiPriority w:val="10"/>
    <w:rsid w:val="00194BB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194BBE"/>
    <w:pPr>
      <w:ind w:firstLine="720"/>
      <w:jc w:val="both"/>
    </w:pPr>
    <w:rPr>
      <w:rFonts w:ascii="TimesET" w:hAnsi="TimesET"/>
    </w:rPr>
  </w:style>
  <w:style w:type="character" w:customStyle="1" w:styleId="ae">
    <w:name w:val="Основной текст с отступом Знак"/>
    <w:basedOn w:val="a0"/>
    <w:link w:val="ad"/>
    <w:rsid w:val="00194BBE"/>
    <w:rPr>
      <w:rFonts w:ascii="TimesET" w:eastAsia="Times New Roman" w:hAnsi="TimesET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194BBE"/>
    <w:pPr>
      <w:widowControl w:val="0"/>
      <w:shd w:val="clear" w:color="auto" w:fill="FFFFFF"/>
      <w:autoSpaceDE w:val="0"/>
      <w:autoSpaceDN w:val="0"/>
      <w:adjustRightInd w:val="0"/>
      <w:spacing w:after="120"/>
      <w:ind w:firstLine="709"/>
      <w:jc w:val="both"/>
    </w:pPr>
    <w:rPr>
      <w:rFonts w:ascii="TimesET" w:hAnsi="TimesET"/>
      <w:color w:val="000000"/>
      <w:spacing w:val="13"/>
    </w:rPr>
  </w:style>
  <w:style w:type="character" w:customStyle="1" w:styleId="af0">
    <w:name w:val="Основной текст Знак"/>
    <w:basedOn w:val="a0"/>
    <w:link w:val="af"/>
    <w:uiPriority w:val="99"/>
    <w:rsid w:val="00194BBE"/>
    <w:rPr>
      <w:rFonts w:ascii="TimesET" w:eastAsia="Times New Roman" w:hAnsi="TimesET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character" w:styleId="af1">
    <w:name w:val="Emphasis"/>
    <w:basedOn w:val="a0"/>
    <w:uiPriority w:val="20"/>
    <w:qFormat/>
    <w:rsid w:val="00510E59"/>
    <w:rPr>
      <w:i/>
      <w:iCs/>
    </w:rPr>
  </w:style>
  <w:style w:type="character" w:styleId="af2">
    <w:name w:val="Strong"/>
    <w:basedOn w:val="a0"/>
    <w:uiPriority w:val="22"/>
    <w:qFormat/>
    <w:rsid w:val="00470EB9"/>
    <w:rPr>
      <w:b/>
      <w:bCs/>
    </w:rPr>
  </w:style>
  <w:style w:type="character" w:customStyle="1" w:styleId="hcc">
    <w:name w:val="hcc"/>
    <w:basedOn w:val="a0"/>
    <w:rsid w:val="00B92ED0"/>
  </w:style>
  <w:style w:type="paragraph" w:styleId="2">
    <w:name w:val="Body Text Indent 2"/>
    <w:basedOn w:val="a"/>
    <w:link w:val="20"/>
    <w:uiPriority w:val="99"/>
    <w:semiHidden/>
    <w:unhideWhenUsed/>
    <w:rsid w:val="00227A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0FE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30F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30F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261EB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AF32D9"/>
    <w:rPr>
      <w:rFonts w:ascii="Arial" w:eastAsia="Arial" w:hAnsi="Arial" w:cs="Arial"/>
      <w:sz w:val="16"/>
      <w:szCs w:val="16"/>
    </w:rPr>
  </w:style>
  <w:style w:type="paragraph" w:customStyle="1" w:styleId="1">
    <w:name w:val="Основной текст1"/>
    <w:basedOn w:val="a"/>
    <w:link w:val="af5"/>
    <w:rsid w:val="00AF32D9"/>
    <w:pPr>
      <w:widowControl w:val="0"/>
      <w:ind w:firstLine="400"/>
    </w:pPr>
    <w:rPr>
      <w:rFonts w:ascii="Arial" w:eastAsia="Arial" w:hAnsi="Arial" w:cs="Arial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10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B5C8B-07BA-47D8-8B07-A44EAB5E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14</Pages>
  <Words>5863</Words>
  <Characters>33424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 Игорь Николаевич</cp:lastModifiedBy>
  <cp:revision>20</cp:revision>
  <cp:lastPrinted>2022-11-18T06:30:00Z</cp:lastPrinted>
  <dcterms:created xsi:type="dcterms:W3CDTF">2023-10-26T08:36:00Z</dcterms:created>
  <dcterms:modified xsi:type="dcterms:W3CDTF">2024-11-25T07:38:00Z</dcterms:modified>
</cp:coreProperties>
</file>